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323E" w14:textId="4581EED4" w:rsidR="009A4BB7" w:rsidRDefault="009A4BB7" w:rsidP="009A4BB7">
      <w:pPr>
        <w:rPr>
          <w:b/>
          <w:bCs/>
          <w:lang w:val="el-GR"/>
        </w:rPr>
      </w:pPr>
      <w:r>
        <w:rPr>
          <w:b/>
          <w:bCs/>
          <w:noProof/>
          <w:lang w:val="el-GR"/>
        </w:rPr>
        <w:drawing>
          <wp:anchor distT="0" distB="0" distL="114300" distR="114300" simplePos="0" relativeHeight="251658240" behindDoc="1" locked="0" layoutInCell="1" allowOverlap="0" wp14:anchorId="1E9E2BD5" wp14:editId="56CD99BD">
            <wp:simplePos x="0" y="0"/>
            <wp:positionH relativeFrom="column">
              <wp:posOffset>2706370</wp:posOffset>
            </wp:positionH>
            <wp:positionV relativeFrom="paragraph">
              <wp:posOffset>316230</wp:posOffset>
            </wp:positionV>
            <wp:extent cx="3743960" cy="1334770"/>
            <wp:effectExtent l="0" t="0" r="2540" b="0"/>
            <wp:wrapTight wrapText="bothSides">
              <wp:wrapPolygon edited="0">
                <wp:start x="0" y="0"/>
                <wp:lineTo x="0" y="21374"/>
                <wp:lineTo x="21541" y="21374"/>
                <wp:lineTo x="21541" y="0"/>
                <wp:lineTo x="0" y="0"/>
              </wp:wrapPolygon>
            </wp:wrapTight>
            <wp:docPr id="832534341" name="Picture 2" descr="A close-up of a pink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534341" name="Picture 2" descr="A close-up of a pink certificate&#10;&#10;Description automatically generated"/>
                    <pic:cNvPicPr/>
                  </pic:nvPicPr>
                  <pic:blipFill rotWithShape="1">
                    <a:blip r:embed="rId6">
                      <a:extLst>
                        <a:ext uri="{28A0092B-C50C-407E-A947-70E740481C1C}">
                          <a14:useLocalDpi xmlns:a14="http://schemas.microsoft.com/office/drawing/2010/main" val="0"/>
                        </a:ext>
                      </a:extLst>
                    </a:blip>
                    <a:srcRect l="8494" t="18462" r="17788" b="18462"/>
                    <a:stretch/>
                  </pic:blipFill>
                  <pic:spPr bwMode="auto">
                    <a:xfrm>
                      <a:off x="0" y="0"/>
                      <a:ext cx="3743960" cy="1334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0" wp14:anchorId="5CC1D536" wp14:editId="5980DB42">
            <wp:simplePos x="0" y="0"/>
            <wp:positionH relativeFrom="margin">
              <wp:posOffset>-513715</wp:posOffset>
            </wp:positionH>
            <wp:positionV relativeFrom="margin">
              <wp:posOffset>373380</wp:posOffset>
            </wp:positionV>
            <wp:extent cx="2580640" cy="1229995"/>
            <wp:effectExtent l="0" t="0" r="0" b="1905"/>
            <wp:wrapSquare wrapText="bothSides"/>
            <wp:docPr id="115545073" name="Picture 1" descr="Perinatal.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inatal.g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0640" cy="122999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"https://www.perinatal.gr/images/logoPerinatal_gr.jpg" \* MERGEFORMATINET </w:instrText>
      </w:r>
      <w:r w:rsidR="00000000">
        <w:fldChar w:fldCharType="separate"/>
      </w:r>
      <w:r>
        <w:fldChar w:fldCharType="end"/>
      </w:r>
    </w:p>
    <w:p w14:paraId="59252A05" w14:textId="33F47D91" w:rsidR="009A4BB7" w:rsidRDefault="009A4BB7" w:rsidP="009A4BB7">
      <w:pPr>
        <w:rPr>
          <w:b/>
          <w:bCs/>
          <w:lang w:val="el-GR"/>
        </w:rPr>
      </w:pPr>
    </w:p>
    <w:p w14:paraId="75181367" w14:textId="77777777" w:rsidR="008202C9" w:rsidRDefault="008202C9" w:rsidP="009A4BB7">
      <w:pPr>
        <w:jc w:val="center"/>
        <w:rPr>
          <w:b/>
          <w:bCs/>
          <w:lang w:val="el-GR"/>
        </w:rPr>
      </w:pPr>
    </w:p>
    <w:p w14:paraId="0D5460CB" w14:textId="77777777" w:rsidR="008202C9" w:rsidRDefault="008202C9" w:rsidP="009A4BB7">
      <w:pPr>
        <w:jc w:val="center"/>
        <w:rPr>
          <w:b/>
          <w:bCs/>
          <w:lang w:val="el-GR"/>
        </w:rPr>
      </w:pPr>
    </w:p>
    <w:p w14:paraId="449E06AD" w14:textId="77777777" w:rsidR="008202C9" w:rsidRDefault="008202C9" w:rsidP="009A4BB7">
      <w:pPr>
        <w:jc w:val="center"/>
        <w:rPr>
          <w:b/>
          <w:bCs/>
          <w:lang w:val="el-GR"/>
        </w:rPr>
      </w:pPr>
    </w:p>
    <w:p w14:paraId="40D97650" w14:textId="77777777" w:rsidR="008202C9" w:rsidRDefault="008202C9" w:rsidP="009A4BB7">
      <w:pPr>
        <w:jc w:val="center"/>
        <w:rPr>
          <w:b/>
          <w:bCs/>
          <w:lang w:val="el-GR"/>
        </w:rPr>
      </w:pPr>
    </w:p>
    <w:p w14:paraId="6D61F774" w14:textId="7D7306D1" w:rsidR="009A4BB7" w:rsidRDefault="0040426B" w:rsidP="009A4BB7">
      <w:pPr>
        <w:jc w:val="center"/>
        <w:rPr>
          <w:b/>
          <w:bCs/>
          <w:lang w:val="el-GR"/>
        </w:rPr>
      </w:pPr>
      <w:r>
        <w:rPr>
          <w:b/>
          <w:bCs/>
          <w:lang w:val="el-GR"/>
        </w:rPr>
        <w:t>Κατευθυντήριες Οδηγίες για την Ανοσοποίηση των Εγκύων έναντι του Αναπνευστικού Συγκυτιακού Ιού (</w:t>
      </w:r>
      <w:r>
        <w:rPr>
          <w:b/>
          <w:bCs/>
        </w:rPr>
        <w:t>RSV</w:t>
      </w:r>
      <w:r w:rsidRPr="00280B94">
        <w:rPr>
          <w:b/>
          <w:bCs/>
          <w:lang w:val="el-GR"/>
        </w:rPr>
        <w:t>)</w:t>
      </w:r>
    </w:p>
    <w:p w14:paraId="510B6A0A" w14:textId="6D540D82" w:rsidR="00215AFD" w:rsidRPr="009A4BB7" w:rsidRDefault="00215AFD" w:rsidP="009A4BB7">
      <w:pPr>
        <w:rPr>
          <w:b/>
          <w:bCs/>
          <w:lang w:val="el-GR"/>
        </w:rPr>
      </w:pPr>
    </w:p>
    <w:p w14:paraId="3DEFF0D4" w14:textId="77777777" w:rsidR="00EA584D" w:rsidRDefault="009A7653">
      <w:pPr>
        <w:rPr>
          <w:lang w:val="el-GR"/>
        </w:rPr>
      </w:pPr>
      <w:r>
        <w:rPr>
          <w:b/>
          <w:bCs/>
          <w:lang w:val="el-GR"/>
        </w:rPr>
        <w:t>Εισαγωγή</w:t>
      </w:r>
    </w:p>
    <w:p w14:paraId="38F6BDC6" w14:textId="52A5201F" w:rsidR="00EA584D" w:rsidRDefault="009A7653">
      <w:pPr>
        <w:rPr>
          <w:b/>
          <w:bCs/>
          <w:lang w:val="el-GR"/>
        </w:rPr>
      </w:pPr>
      <w:r>
        <w:rPr>
          <w:lang w:val="el-GR"/>
        </w:rPr>
        <w:t xml:space="preserve">Ο </w:t>
      </w:r>
      <w:r w:rsidR="00676F44">
        <w:rPr>
          <w:lang w:val="el-GR"/>
        </w:rPr>
        <w:t>αναπνευστικός</w:t>
      </w:r>
      <w:r>
        <w:rPr>
          <w:lang w:val="el-GR"/>
        </w:rPr>
        <w:t xml:space="preserve"> </w:t>
      </w:r>
      <w:proofErr w:type="spellStart"/>
      <w:r>
        <w:rPr>
          <w:lang w:val="el-GR"/>
        </w:rPr>
        <w:t>συγκυτιακός</w:t>
      </w:r>
      <w:proofErr w:type="spellEnd"/>
      <w:r>
        <w:rPr>
          <w:lang w:val="el-GR"/>
        </w:rPr>
        <w:t xml:space="preserve"> ιός, γνωστός διεθνώς ως </w:t>
      </w:r>
      <w:r>
        <w:rPr>
          <w:lang w:val="de-DE"/>
        </w:rPr>
        <w:t>RSV</w:t>
      </w:r>
      <w:r>
        <w:rPr>
          <w:lang w:val="el-GR"/>
        </w:rPr>
        <w:t xml:space="preserve"> (</w:t>
      </w:r>
      <w:r>
        <w:t>Respiratory</w:t>
      </w:r>
      <w:r>
        <w:rPr>
          <w:lang w:val="el-GR"/>
        </w:rPr>
        <w:t xml:space="preserve"> </w:t>
      </w:r>
      <w:r>
        <w:t>Syncytial</w:t>
      </w:r>
      <w:r>
        <w:rPr>
          <w:lang w:val="el-GR"/>
        </w:rPr>
        <w:t xml:space="preserve"> </w:t>
      </w:r>
      <w:r>
        <w:t>Virous</w:t>
      </w:r>
      <w:r>
        <w:rPr>
          <w:lang w:val="el-GR"/>
        </w:rPr>
        <w:t xml:space="preserve">), είναι μία κοινή αιτία λοίμωξης του αναπνευστικού συστήματος σε όλες τις ηλικιακές ομάδες. Εμφανίζει εξάρσεις κάθε χρόνο και εποχικότητα που </w:t>
      </w:r>
      <w:r w:rsidR="00215AFD">
        <w:rPr>
          <w:lang w:val="el-GR"/>
        </w:rPr>
        <w:t xml:space="preserve">στο βόρειο ημισφαίριο </w:t>
      </w:r>
      <w:r>
        <w:rPr>
          <w:lang w:val="el-GR"/>
        </w:rPr>
        <w:t xml:space="preserve">ξεκινά από το φθινόπωρο και κορυφώνεται το χειμώνα, με τον κίνδυνο για λοίμωξη από </w:t>
      </w:r>
      <w:r>
        <w:rPr>
          <w:lang w:val="de-DE"/>
        </w:rPr>
        <w:t>RSV</w:t>
      </w:r>
      <w:r>
        <w:rPr>
          <w:lang w:val="el-GR"/>
        </w:rPr>
        <w:t xml:space="preserve"> να διαφέρει σε κάθε περιοχή και ανά έτος</w:t>
      </w:r>
      <w:r w:rsidR="0040426B" w:rsidRPr="00280B94">
        <w:rPr>
          <w:lang w:val="el-GR"/>
        </w:rPr>
        <w:t>.</w:t>
      </w:r>
      <w:r>
        <w:rPr>
          <w:lang w:val="el-GR"/>
        </w:rPr>
        <w:t xml:space="preserve"> Ο </w:t>
      </w:r>
      <w:r>
        <w:rPr>
          <w:lang w:val="de-DE"/>
        </w:rPr>
        <w:t>RSV</w:t>
      </w:r>
      <w:r>
        <w:rPr>
          <w:lang w:val="el-GR"/>
        </w:rPr>
        <w:t xml:space="preserve"> μπορεί να προκαλέσει σοβαρή λοίμωξη κατώτερου αναπνευστικού σε νεογνά, τα περισσότερα από τα οποία μολύνονται με </w:t>
      </w:r>
      <w:r>
        <w:rPr>
          <w:lang w:val="de-DE"/>
        </w:rPr>
        <w:t>RSV</w:t>
      </w:r>
      <w:r>
        <w:rPr>
          <w:lang w:val="el-GR"/>
        </w:rPr>
        <w:t xml:space="preserve"> κατά το πρώτο έτος της ζωής τους, με </w:t>
      </w:r>
      <w:r w:rsidR="00215AFD">
        <w:rPr>
          <w:lang w:val="el-GR"/>
        </w:rPr>
        <w:t xml:space="preserve">την </w:t>
      </w:r>
      <w:r>
        <w:rPr>
          <w:lang w:val="el-GR"/>
        </w:rPr>
        <w:t xml:space="preserve">υψηλότερη συχνότητα νοσηλείας </w:t>
      </w:r>
      <w:r w:rsidR="00215AFD">
        <w:rPr>
          <w:lang w:val="el-GR"/>
        </w:rPr>
        <w:t xml:space="preserve">να αφορά </w:t>
      </w:r>
      <w:r>
        <w:rPr>
          <w:lang w:val="el-GR"/>
        </w:rPr>
        <w:t>βρέφη ηλικίας &lt;3 μηνών. Αποτελεί την κύρια αιτία νοσηλείας μεταξύ των βρεφών στις ΗΠΑ</w:t>
      </w:r>
      <w:r w:rsidR="0040426B">
        <w:rPr>
          <w:lang w:val="el-GR"/>
        </w:rPr>
        <w:t>.</w:t>
      </w:r>
      <w:r>
        <w:rPr>
          <w:lang w:val="el-GR"/>
        </w:rPr>
        <w:t xml:space="preserve"> Λόγω της υψηλής συχνότητας εμφάνισης σοβαρής νόσου κατά τους πρώτους μήνες της ζωής, είναι σημαντική η πρόληψη της λοίμωξης από RSV με παθητική ανοσοποίηση  βρεφών μέσω μητρικής ανοσοποίησης ή ανοσοπροφύλαξης με μονοκλωνικά αντισώματα</w:t>
      </w:r>
      <w:r w:rsidR="00215AFD">
        <w:rPr>
          <w:lang w:val="el-GR"/>
        </w:rPr>
        <w:t xml:space="preserve">. </w:t>
      </w:r>
    </w:p>
    <w:p w14:paraId="6CDB16B7" w14:textId="77777777" w:rsidR="00EA584D" w:rsidRDefault="00263E66">
      <w:pPr>
        <w:rPr>
          <w:lang w:val="el-GR"/>
        </w:rPr>
      </w:pPr>
      <w:r>
        <w:rPr>
          <w:b/>
          <w:bCs/>
          <w:lang w:val="el-GR"/>
        </w:rPr>
        <w:t xml:space="preserve">Το εμβόλιο RSVpreF (Abrysvo, Pfizer) </w:t>
      </w:r>
    </w:p>
    <w:p w14:paraId="2C0356C1" w14:textId="30CAD626" w:rsidR="00EA584D" w:rsidRPr="00932629" w:rsidRDefault="00263E66">
      <w:pPr>
        <w:rPr>
          <w:b/>
          <w:bCs/>
          <w:lang w:val="el-GR"/>
        </w:rPr>
      </w:pPr>
      <w:r>
        <w:rPr>
          <w:lang w:val="el-GR"/>
        </w:rPr>
        <w:t>Προσφάτως αναπτύχθηκε το εμβόλιο RSVpreF (Abrysvo, Pfizer) αποτελείται από ένα ανασυνδυασμένο αντιγόνο της πρωτεΐνης RSV F (με βάση και τους δύο υποτύπους RSV-A και RSV-B)</w:t>
      </w:r>
      <w:r w:rsidR="00CA5F8A">
        <w:rPr>
          <w:lang w:val="el-GR"/>
        </w:rPr>
        <w:t xml:space="preserve">, το οποίο εγκρίθηκε για χρήση στις εγκύους από τον </w:t>
      </w:r>
      <w:r w:rsidR="00CA5F8A">
        <w:t>European</w:t>
      </w:r>
      <w:r w:rsidR="00CA5F8A" w:rsidRPr="00F40004">
        <w:rPr>
          <w:lang w:val="el-GR"/>
        </w:rPr>
        <w:t xml:space="preserve"> </w:t>
      </w:r>
      <w:r w:rsidR="00CA5F8A">
        <w:t>Medical</w:t>
      </w:r>
      <w:r w:rsidR="00CA5F8A" w:rsidRPr="00F40004">
        <w:rPr>
          <w:lang w:val="el-GR"/>
        </w:rPr>
        <w:t xml:space="preserve"> </w:t>
      </w:r>
      <w:r w:rsidR="00CA5F8A">
        <w:t>Agency</w:t>
      </w:r>
      <w:r w:rsidR="00CA5F8A" w:rsidRPr="00F40004">
        <w:rPr>
          <w:lang w:val="el-GR"/>
        </w:rPr>
        <w:t xml:space="preserve"> (</w:t>
      </w:r>
      <w:r w:rsidR="00CA5F8A">
        <w:t>EMA</w:t>
      </w:r>
      <w:r w:rsidR="00CA5F8A" w:rsidRPr="00F40004">
        <w:rPr>
          <w:lang w:val="el-GR"/>
        </w:rPr>
        <w:t xml:space="preserve">) </w:t>
      </w:r>
      <w:r w:rsidR="00CA5F8A">
        <w:rPr>
          <w:lang w:val="el-GR"/>
        </w:rPr>
        <w:t>στις 23/08/2023</w:t>
      </w:r>
      <w:r w:rsidR="00932629" w:rsidRPr="00932629">
        <w:rPr>
          <w:lang w:val="el-GR"/>
        </w:rPr>
        <w:t>.</w:t>
      </w:r>
    </w:p>
    <w:p w14:paraId="1723EFB9" w14:textId="19ABBB3C" w:rsidR="00263E66" w:rsidRPr="00932629" w:rsidRDefault="009A7653">
      <w:pPr>
        <w:rPr>
          <w:lang w:val="el-GR"/>
        </w:rPr>
      </w:pPr>
      <w:r>
        <w:rPr>
          <w:lang w:val="el-GR"/>
        </w:rPr>
        <w:t xml:space="preserve">Δεδομένα από κλινικές δοκιμές δείχνουν ότι το εμβόλιο RSVpreF (Abrysvo) είναι ασφαλές και αποτελεσματικό για χρήση σε έγκυες για την πρόληψη της σοβαρής νόσου από RSV σε βρέφη από τη γέννηση έως την ηλικία των 6 μηνών. </w:t>
      </w:r>
    </w:p>
    <w:p w14:paraId="58B05C3B" w14:textId="77777777" w:rsidR="008D08A6" w:rsidRDefault="00CF729A" w:rsidP="008D08A6">
      <w:pPr>
        <w:rPr>
          <w:b/>
          <w:bCs/>
          <w:lang w:val="el-GR"/>
        </w:rPr>
      </w:pPr>
      <w:r>
        <w:rPr>
          <w:b/>
          <w:bCs/>
          <w:lang w:val="el-GR"/>
        </w:rPr>
        <w:t xml:space="preserve">Συστάσεις μητρικού εμβολιασμού για τον </w:t>
      </w:r>
      <w:r>
        <w:rPr>
          <w:b/>
          <w:bCs/>
          <w:lang w:val="de-DE"/>
        </w:rPr>
        <w:t>RSV</w:t>
      </w:r>
      <w:r w:rsidR="008D08A6">
        <w:rPr>
          <w:b/>
          <w:bCs/>
          <w:lang w:val="el-GR"/>
        </w:rPr>
        <w:t xml:space="preserve"> </w:t>
      </w:r>
    </w:p>
    <w:p w14:paraId="00CF1CFA" w14:textId="43A5061E" w:rsidR="00263E66" w:rsidRPr="00DD7481" w:rsidRDefault="008D08A6" w:rsidP="008D08A6">
      <w:pPr>
        <w:rPr>
          <w:lang w:val="el-GR"/>
        </w:rPr>
      </w:pPr>
      <w:r>
        <w:rPr>
          <w:lang w:val="el-GR"/>
        </w:rPr>
        <w:t xml:space="preserve">Το </w:t>
      </w:r>
      <w:r w:rsidR="00DD7481">
        <w:rPr>
          <w:lang w:val="el-GR"/>
        </w:rPr>
        <w:t>εγκεκριμένο από τον ΕΜΑ</w:t>
      </w:r>
      <w:r>
        <w:rPr>
          <w:lang w:val="el-GR"/>
        </w:rPr>
        <w:t xml:space="preserve"> δοσολογικό σχήμα περιλαμβάνει μία ά</w:t>
      </w:r>
      <w:r w:rsidR="00CF729A">
        <w:rPr>
          <w:lang w:val="el-GR"/>
        </w:rPr>
        <w:t xml:space="preserve">παξ δόση του δισθενούς εμβολίου </w:t>
      </w:r>
      <w:r w:rsidR="00CF729A">
        <w:t>RSVpreF</w:t>
      </w:r>
      <w:r w:rsidR="00CF729A">
        <w:rPr>
          <w:lang w:val="el-GR"/>
        </w:rPr>
        <w:t xml:space="preserve"> (</w:t>
      </w:r>
      <w:r w:rsidR="00CF729A">
        <w:t>Abrysvo</w:t>
      </w:r>
      <w:r w:rsidR="00CF729A">
        <w:rPr>
          <w:lang w:val="el-GR"/>
        </w:rPr>
        <w:t xml:space="preserve">) κατά τη διάρκεια της περιόδου έξαρσης της λοίμωξης από </w:t>
      </w:r>
      <w:r w:rsidR="00CF729A">
        <w:t>RSV</w:t>
      </w:r>
      <w:r w:rsidR="00CF729A">
        <w:rPr>
          <w:lang w:val="el-GR"/>
        </w:rPr>
        <w:t xml:space="preserve"> </w:t>
      </w:r>
      <w:r w:rsidR="005A09A5">
        <w:rPr>
          <w:lang w:val="el-GR"/>
        </w:rPr>
        <w:t>(Σεπτέμβριο έως τον Ιανουάριο)</w:t>
      </w:r>
      <w:r>
        <w:rPr>
          <w:lang w:val="el-GR"/>
        </w:rPr>
        <w:t xml:space="preserve"> </w:t>
      </w:r>
      <w:r w:rsidR="00CF729A">
        <w:rPr>
          <w:lang w:val="el-GR"/>
        </w:rPr>
        <w:t xml:space="preserve">σε έγκυες ηλικίας κύησης </w:t>
      </w:r>
      <w:r w:rsidR="00DD7481">
        <w:rPr>
          <w:lang w:val="el-GR"/>
        </w:rPr>
        <w:t>24</w:t>
      </w:r>
      <w:r w:rsidR="00593D34">
        <w:rPr>
          <w:lang w:val="el-GR"/>
        </w:rPr>
        <w:t xml:space="preserve"> </w:t>
      </w:r>
      <w:r w:rsidR="00CF729A">
        <w:rPr>
          <w:lang w:val="el-GR"/>
        </w:rPr>
        <w:t>έως 36 εβδομάδων</w:t>
      </w:r>
      <w:r w:rsidR="005A09A5">
        <w:rPr>
          <w:lang w:val="el-GR"/>
        </w:rPr>
        <w:t xml:space="preserve">, </w:t>
      </w:r>
      <w:r w:rsidR="00CF729A">
        <w:rPr>
          <w:lang w:val="el-GR"/>
        </w:rPr>
        <w:t xml:space="preserve">ώστε τα νεογνά τους να προστατεύονται από τη σοβαρή νόσο του </w:t>
      </w:r>
      <w:r w:rsidR="00CF729A">
        <w:t>RSV</w:t>
      </w:r>
      <w:r w:rsidR="00CF729A">
        <w:rPr>
          <w:lang w:val="el-GR"/>
        </w:rPr>
        <w:t xml:space="preserve"> κατά τη γέννηση</w:t>
      </w:r>
      <w:r w:rsidR="005A09A5">
        <w:rPr>
          <w:lang w:val="el-GR"/>
        </w:rPr>
        <w:t xml:space="preserve"> και</w:t>
      </w:r>
      <w:r w:rsidR="00263E66">
        <w:rPr>
          <w:lang w:val="el-GR"/>
        </w:rPr>
        <w:t xml:space="preserve"> έως την ηλικία των 6 μηνών.</w:t>
      </w:r>
      <w:r>
        <w:rPr>
          <w:lang w:val="el-GR"/>
        </w:rPr>
        <w:t xml:space="preserve">  </w:t>
      </w:r>
      <w:r w:rsidR="00DD7481">
        <w:rPr>
          <w:lang w:val="el-GR"/>
        </w:rPr>
        <w:t xml:space="preserve">Σε ομοφωνία με το </w:t>
      </w:r>
      <w:r w:rsidR="00DD7481" w:rsidRPr="00DD7481">
        <w:rPr>
          <w:lang w:val="el-GR"/>
        </w:rPr>
        <w:t xml:space="preserve">American </w:t>
      </w:r>
      <w:proofErr w:type="spellStart"/>
      <w:r w:rsidR="00DD7481" w:rsidRPr="00DD7481">
        <w:rPr>
          <w:lang w:val="el-GR"/>
        </w:rPr>
        <w:t>College</w:t>
      </w:r>
      <w:proofErr w:type="spellEnd"/>
      <w:r w:rsidR="00DD7481" w:rsidRPr="00DD7481">
        <w:rPr>
          <w:lang w:val="el-GR"/>
        </w:rPr>
        <w:t xml:space="preserve"> of </w:t>
      </w:r>
      <w:proofErr w:type="spellStart"/>
      <w:r w:rsidR="00DD7481" w:rsidRPr="00DD7481">
        <w:rPr>
          <w:lang w:val="el-GR"/>
        </w:rPr>
        <w:t>Obstetricians</w:t>
      </w:r>
      <w:proofErr w:type="spellEnd"/>
      <w:r w:rsidR="00DD7481" w:rsidRPr="00DD7481">
        <w:rPr>
          <w:lang w:val="el-GR"/>
        </w:rPr>
        <w:t xml:space="preserve"> and </w:t>
      </w:r>
      <w:proofErr w:type="spellStart"/>
      <w:r w:rsidR="00DD7481" w:rsidRPr="00DD7481">
        <w:rPr>
          <w:lang w:val="el-GR"/>
        </w:rPr>
        <w:t>Gynecologists</w:t>
      </w:r>
      <w:proofErr w:type="spellEnd"/>
      <w:r w:rsidR="00DD7481" w:rsidRPr="00DD7481">
        <w:rPr>
          <w:lang w:val="el-GR"/>
        </w:rPr>
        <w:t xml:space="preserve"> </w:t>
      </w:r>
      <w:r w:rsidR="00DD7481">
        <w:rPr>
          <w:lang w:val="el-GR"/>
        </w:rPr>
        <w:t>(</w:t>
      </w:r>
      <w:r w:rsidR="00DD7481">
        <w:t>ACOG</w:t>
      </w:r>
      <w:r w:rsidR="00DD7481" w:rsidRPr="00DD7481">
        <w:rPr>
          <w:lang w:val="el-GR"/>
        </w:rPr>
        <w:t xml:space="preserve">) </w:t>
      </w:r>
      <w:r w:rsidR="00DD7481">
        <w:rPr>
          <w:lang w:val="el-GR"/>
        </w:rPr>
        <w:t xml:space="preserve">και την </w:t>
      </w:r>
      <w:r w:rsidR="00DD7481" w:rsidRPr="00DD7481">
        <w:rPr>
          <w:lang w:val="el-GR"/>
        </w:rPr>
        <w:t xml:space="preserve">Society for </w:t>
      </w:r>
      <w:proofErr w:type="spellStart"/>
      <w:r w:rsidR="00DD7481" w:rsidRPr="00DD7481">
        <w:rPr>
          <w:lang w:val="el-GR"/>
        </w:rPr>
        <w:t>Maternal-Fetal</w:t>
      </w:r>
      <w:proofErr w:type="spellEnd"/>
      <w:r w:rsidR="00DD7481" w:rsidRPr="00DD7481">
        <w:rPr>
          <w:lang w:val="el-GR"/>
        </w:rPr>
        <w:t xml:space="preserve"> </w:t>
      </w:r>
      <w:proofErr w:type="spellStart"/>
      <w:r w:rsidR="00DD7481" w:rsidRPr="00DD7481">
        <w:rPr>
          <w:lang w:val="el-GR"/>
        </w:rPr>
        <w:lastRenderedPageBreak/>
        <w:t>Medicine</w:t>
      </w:r>
      <w:proofErr w:type="spellEnd"/>
      <w:r w:rsidR="00DD7481" w:rsidRPr="00DD7481">
        <w:rPr>
          <w:lang w:val="el-GR"/>
        </w:rPr>
        <w:t xml:space="preserve"> (SMFM)</w:t>
      </w:r>
      <w:r w:rsidR="00DD7481">
        <w:rPr>
          <w:lang w:val="el-GR"/>
        </w:rPr>
        <w:t xml:space="preserve"> της Αμερικής, προτείνεται η διενέργεια του εμβολιασμού </w:t>
      </w:r>
      <w:r w:rsidR="00DD7481" w:rsidRPr="00FC004E">
        <w:rPr>
          <w:highlight w:val="yellow"/>
          <w:lang w:val="el-GR"/>
        </w:rPr>
        <w:t>μεταξύ 32</w:t>
      </w:r>
      <w:r w:rsidR="00821EF9" w:rsidRPr="00FC004E">
        <w:rPr>
          <w:highlight w:val="yellow"/>
          <w:lang w:val="el-GR"/>
        </w:rPr>
        <w:t>ης</w:t>
      </w:r>
      <w:r w:rsidR="00DD7481" w:rsidRPr="00FC004E">
        <w:rPr>
          <w:highlight w:val="yellow"/>
          <w:lang w:val="el-GR"/>
        </w:rPr>
        <w:t xml:space="preserve"> και 36</w:t>
      </w:r>
      <w:r w:rsidR="00821EF9" w:rsidRPr="00FC004E">
        <w:rPr>
          <w:highlight w:val="yellow"/>
          <w:lang w:val="el-GR"/>
        </w:rPr>
        <w:t>ης</w:t>
      </w:r>
      <w:r w:rsidR="00DD7481" w:rsidRPr="00FC004E">
        <w:rPr>
          <w:highlight w:val="yellow"/>
          <w:lang w:val="el-GR"/>
        </w:rPr>
        <w:t xml:space="preserve"> εβδομάδ</w:t>
      </w:r>
      <w:r w:rsidR="00821EF9" w:rsidRPr="00FC004E">
        <w:rPr>
          <w:highlight w:val="yellow"/>
          <w:lang w:val="el-GR"/>
        </w:rPr>
        <w:t>ας</w:t>
      </w:r>
      <w:r w:rsidR="00DD7481" w:rsidRPr="00FC004E">
        <w:rPr>
          <w:highlight w:val="yellow"/>
          <w:lang w:val="el-GR"/>
        </w:rPr>
        <w:t xml:space="preserve"> κύησης</w:t>
      </w:r>
      <w:r w:rsidR="007D3E94" w:rsidRPr="00FC004E">
        <w:rPr>
          <w:color w:val="FF0000"/>
          <w:highlight w:val="yellow"/>
          <w:lang w:val="el-GR"/>
        </w:rPr>
        <w:t xml:space="preserve">, </w:t>
      </w:r>
      <w:r w:rsidR="007D3E94" w:rsidRPr="00FC004E">
        <w:rPr>
          <w:highlight w:val="yellow"/>
          <w:lang w:val="el-GR"/>
        </w:rPr>
        <w:t xml:space="preserve">από το Σεπτέμβριο έως και τον Φεβρουάριο </w:t>
      </w:r>
      <w:r w:rsidR="00821EF9" w:rsidRPr="00FC004E">
        <w:rPr>
          <w:highlight w:val="yellow"/>
          <w:lang w:val="el-GR"/>
        </w:rPr>
        <w:t xml:space="preserve"> κάθε έτους.</w:t>
      </w:r>
    </w:p>
    <w:p w14:paraId="2497589F" w14:textId="77777777" w:rsidR="00263E66" w:rsidRDefault="008D08A6" w:rsidP="00263E66">
      <w:pPr>
        <w:rPr>
          <w:lang w:val="el-GR"/>
        </w:rPr>
      </w:pPr>
      <w:r>
        <w:rPr>
          <w:lang w:val="el-GR"/>
        </w:rPr>
        <w:t xml:space="preserve">Προτείνεται οι μαιευτήρες-γυναικολόγοι να ενημερώνουν τις εγκύους για τη δυνατότητα και τα οφέλη του εμβολιασμού καθώς και για τη δυνατότητα χορήγησης στο νεογνό </w:t>
      </w:r>
      <w:r w:rsidR="00263E66">
        <w:rPr>
          <w:lang w:val="el-GR"/>
        </w:rPr>
        <w:t xml:space="preserve">μονοκλωνικού αντισώματος (nirsevimab) </w:t>
      </w:r>
      <w:r>
        <w:rPr>
          <w:lang w:val="el-GR"/>
        </w:rPr>
        <w:t xml:space="preserve">έναντι του </w:t>
      </w:r>
      <w:r>
        <w:t>RSV</w:t>
      </w:r>
      <w:r w:rsidR="00263E66">
        <w:rPr>
          <w:lang w:val="el-GR"/>
        </w:rPr>
        <w:t xml:space="preserve"> μετά τη γέννηση.</w:t>
      </w:r>
    </w:p>
    <w:p w14:paraId="32763398" w14:textId="74E8E4B9" w:rsidR="006B3794" w:rsidRPr="006B3794" w:rsidRDefault="006B3794" w:rsidP="00263E66">
      <w:pPr>
        <w:rPr>
          <w:lang w:val="el-GR"/>
        </w:rPr>
      </w:pPr>
      <w:r>
        <w:rPr>
          <w:lang w:val="el-GR"/>
        </w:rPr>
        <w:t xml:space="preserve">Με δεδομένη την ανάγκη παρόδου τουλάχιστον 14 ημερών για την δημιουργία και διαπλακουντιακή μεταφορά αντισωμάτων, νεογνά που γεννιούνται πριν από αυτό το χρονικό παράθυρο καθώς και νεογνά που γεννιούνται πριν τις 34 εβδομάδες κύησης θα πρέπει να λαμβάνουν το </w:t>
      </w:r>
      <w:r>
        <w:t>nirsevimab</w:t>
      </w:r>
      <w:r>
        <w:rPr>
          <w:lang w:val="el-GR"/>
        </w:rPr>
        <w:t xml:space="preserve"> ανεξάρτητα από τον εμβολιασμό της μητέρας κατά την κύηση. Επιπροσθέτως, σε περιπτώσεις μητέρων με ανοσοκαταστολή ή επηρεασμένη διαπλακουντιακή μεταφορά αντισωμάτων (μητέρες με λοίμωξη από </w:t>
      </w:r>
      <w:r>
        <w:t>HIV</w:t>
      </w:r>
      <w:r w:rsidRPr="006B3794">
        <w:rPr>
          <w:lang w:val="el-GR"/>
        </w:rPr>
        <w:t xml:space="preserve"> </w:t>
      </w:r>
      <w:r>
        <w:rPr>
          <w:lang w:val="el-GR"/>
        </w:rPr>
        <w:t xml:space="preserve">κ.α.), θα πρέπει να συζητάται το ενδεχόμενο χορήγησης του μονοκλωνικού αντισώματος στο νεογνό. </w:t>
      </w:r>
    </w:p>
    <w:p w14:paraId="5D2F8F46" w14:textId="77777777" w:rsidR="00263E66" w:rsidRDefault="00263E66" w:rsidP="00263E66">
      <w:pPr>
        <w:rPr>
          <w:lang w:val="el-GR"/>
        </w:rPr>
      </w:pPr>
      <w:r>
        <w:rPr>
          <w:b/>
          <w:bCs/>
          <w:lang w:val="el-GR"/>
        </w:rPr>
        <w:t>Αντενδείξεις και προφυλάξεις</w:t>
      </w:r>
    </w:p>
    <w:p w14:paraId="049848A9" w14:textId="77777777" w:rsidR="008D08A6" w:rsidRDefault="00263E66" w:rsidP="008D08A6">
      <w:pPr>
        <w:pStyle w:val="a8"/>
        <w:ind w:left="0"/>
        <w:rPr>
          <w:lang w:val="el-GR"/>
        </w:rPr>
      </w:pPr>
      <w:r>
        <w:rPr>
          <w:lang w:val="el-GR"/>
        </w:rPr>
        <w:t xml:space="preserve">Το εμβόλιο RSVpreF (Abrysvo, Pfizer) δεν πρέπει να χορηγείται σε άτομο με ιστορικό σοβαρής αλλεργικής αντίδρασης, όπως αναφυλαξία, σε οποιοδήποτε συστατικό αυτού του εμβολίου. </w:t>
      </w:r>
    </w:p>
    <w:p w14:paraId="61283D7B" w14:textId="442A8D87" w:rsidR="00263E66" w:rsidRDefault="00263E66" w:rsidP="008D08A6">
      <w:pPr>
        <w:pStyle w:val="a8"/>
        <w:ind w:left="0"/>
        <w:rPr>
          <w:lang w:val="el-GR"/>
        </w:rPr>
      </w:pPr>
      <w:r>
        <w:rPr>
          <w:lang w:val="el-GR"/>
        </w:rPr>
        <w:t>Οι ενήλικες με μια ήπια οξεία ασθένεια, όπως ένα κρυολόγημα, μπορούν να λάβουν εμβολιασμό κατά του RSV. Η μέτρια ή σοβαρή οξεία ασθένεια, με ή χωρίς πυρετό, αποτελεί αντένδειξη για τον εμβολιασμό και θα πρέπει να αναβάλλεται μέχρι να βελτιωθεί η υγεία του ασθενούς.</w:t>
      </w:r>
    </w:p>
    <w:p w14:paraId="5FCB7977" w14:textId="47C12041" w:rsidR="008D08A6" w:rsidRPr="00FC004E" w:rsidRDefault="008D08A6" w:rsidP="008D08A6">
      <w:pPr>
        <w:pStyle w:val="a8"/>
        <w:ind w:left="0"/>
        <w:rPr>
          <w:lang w:val="el-GR"/>
        </w:rPr>
      </w:pPr>
      <w:r w:rsidRPr="00FC004E">
        <w:rPr>
          <w:highlight w:val="yellow"/>
        </w:rPr>
        <w:t>O</w:t>
      </w:r>
      <w:r w:rsidRPr="00FC004E">
        <w:rPr>
          <w:highlight w:val="yellow"/>
          <w:lang w:val="el-GR"/>
        </w:rPr>
        <w:t xml:space="preserve"> εμβολιασμός έναντι </w:t>
      </w:r>
      <w:r w:rsidRPr="00FC004E">
        <w:rPr>
          <w:highlight w:val="yellow"/>
        </w:rPr>
        <w:t>RSV</w:t>
      </w:r>
      <w:r w:rsidRPr="00FC004E">
        <w:rPr>
          <w:highlight w:val="yellow"/>
          <w:lang w:val="el-GR"/>
        </w:rPr>
        <w:t xml:space="preserve"> μπορεί να πραγματοποιηθεί ταυτόχρονα με τα εμβόλια </w:t>
      </w:r>
      <w:r w:rsidR="00821EF9" w:rsidRPr="00FC004E">
        <w:rPr>
          <w:highlight w:val="yellow"/>
          <w:lang w:val="el-GR"/>
        </w:rPr>
        <w:t xml:space="preserve">έναντι της γρίπης και του </w:t>
      </w:r>
      <w:r w:rsidR="000A5FCA" w:rsidRPr="00FC004E">
        <w:rPr>
          <w:highlight w:val="yellow"/>
        </w:rPr>
        <w:t>SARS</w:t>
      </w:r>
      <w:r w:rsidR="000A5FCA" w:rsidRPr="00FC004E">
        <w:rPr>
          <w:highlight w:val="yellow"/>
          <w:lang w:val="el-GR"/>
        </w:rPr>
        <w:t>-</w:t>
      </w:r>
      <w:r w:rsidR="000A5FCA" w:rsidRPr="00FC004E">
        <w:rPr>
          <w:highlight w:val="yellow"/>
        </w:rPr>
        <w:t>CoV</w:t>
      </w:r>
      <w:r w:rsidR="000A5FCA" w:rsidRPr="00FC004E">
        <w:rPr>
          <w:highlight w:val="yellow"/>
          <w:lang w:val="el-GR"/>
        </w:rPr>
        <w:t>-</w:t>
      </w:r>
      <w:r w:rsidR="00821EF9" w:rsidRPr="00FC004E">
        <w:rPr>
          <w:highlight w:val="yellow"/>
          <w:lang w:val="el-GR"/>
        </w:rPr>
        <w:t xml:space="preserve">. Προτείνεται </w:t>
      </w:r>
      <w:r w:rsidR="007D3E94" w:rsidRPr="00FC004E">
        <w:rPr>
          <w:highlight w:val="yellow"/>
          <w:lang w:val="el-GR"/>
        </w:rPr>
        <w:t xml:space="preserve"> να μεσολαβούν τουλάχιστον 14 ημέρες μεταξύ </w:t>
      </w:r>
      <w:r w:rsidR="00821EF9" w:rsidRPr="00FC004E">
        <w:rPr>
          <w:highlight w:val="yellow"/>
          <w:lang w:val="el-GR"/>
        </w:rPr>
        <w:t xml:space="preserve">του </w:t>
      </w:r>
      <w:r w:rsidR="007D3E94" w:rsidRPr="00FC004E">
        <w:rPr>
          <w:highlight w:val="yellow"/>
          <w:lang w:val="el-GR"/>
        </w:rPr>
        <w:t xml:space="preserve">εμβολιασμού με το </w:t>
      </w:r>
      <w:r w:rsidR="007D3E94" w:rsidRPr="00FC004E">
        <w:rPr>
          <w:highlight w:val="yellow"/>
        </w:rPr>
        <w:t>Tdap</w:t>
      </w:r>
      <w:r w:rsidR="007D3E94" w:rsidRPr="00FC004E">
        <w:rPr>
          <w:highlight w:val="yellow"/>
          <w:lang w:val="el-GR"/>
        </w:rPr>
        <w:t xml:space="preserve"> και </w:t>
      </w:r>
      <w:r w:rsidR="00821EF9" w:rsidRPr="00FC004E">
        <w:rPr>
          <w:highlight w:val="yellow"/>
          <w:lang w:val="el-GR"/>
        </w:rPr>
        <w:t>του</w:t>
      </w:r>
      <w:r w:rsidR="007D3E94" w:rsidRPr="00FC004E">
        <w:rPr>
          <w:highlight w:val="yellow"/>
          <w:lang w:val="el-GR"/>
        </w:rPr>
        <w:t xml:space="preserve"> εμβολιασμ</w:t>
      </w:r>
      <w:r w:rsidR="00821EF9" w:rsidRPr="00FC004E">
        <w:rPr>
          <w:highlight w:val="yellow"/>
          <w:lang w:val="el-GR"/>
        </w:rPr>
        <w:t>ού</w:t>
      </w:r>
      <w:r w:rsidR="007D3E94" w:rsidRPr="00FC004E">
        <w:rPr>
          <w:highlight w:val="yellow"/>
          <w:lang w:val="el-GR"/>
        </w:rPr>
        <w:t xml:space="preserve"> έναντι </w:t>
      </w:r>
      <w:r w:rsidR="007D3E94" w:rsidRPr="00FC004E">
        <w:rPr>
          <w:highlight w:val="yellow"/>
        </w:rPr>
        <w:t>RSV</w:t>
      </w:r>
      <w:r w:rsidR="007D3E94" w:rsidRPr="00FC004E">
        <w:rPr>
          <w:highlight w:val="yellow"/>
          <w:lang w:val="el-GR"/>
        </w:rPr>
        <w:t>, καθώς με βάση τη μελέτη</w:t>
      </w:r>
      <w:r w:rsidR="00F9128D" w:rsidRPr="00FC004E">
        <w:rPr>
          <w:highlight w:val="yellow"/>
          <w:lang w:val="el-GR"/>
        </w:rPr>
        <w:t xml:space="preserve"> (10)</w:t>
      </w:r>
      <w:r w:rsidR="007D3E94" w:rsidRPr="00FC004E">
        <w:rPr>
          <w:highlight w:val="yellow"/>
          <w:lang w:val="el-GR"/>
        </w:rPr>
        <w:t xml:space="preserve">, ενδέχεται να μειώνεται η ανοσογονικότητα του εμβολίου </w:t>
      </w:r>
      <w:r w:rsidR="007D3E94" w:rsidRPr="00FC004E">
        <w:rPr>
          <w:highlight w:val="yellow"/>
        </w:rPr>
        <w:t>Tdap</w:t>
      </w:r>
      <w:r w:rsidR="007D3E94" w:rsidRPr="00FC004E">
        <w:rPr>
          <w:highlight w:val="yellow"/>
          <w:lang w:val="el-GR"/>
        </w:rPr>
        <w:t xml:space="preserve"> όταν μεσολαβεί μικρότερο χρονικό διάστημα. </w:t>
      </w:r>
      <w:r w:rsidR="00FC004E" w:rsidRPr="00FC004E">
        <w:rPr>
          <w:highlight w:val="yellow"/>
          <w:lang w:val="el-GR"/>
        </w:rPr>
        <w:t>Το μεσοδιάστημα ανάμεσα στους εμβολιασμούς δύναται να βραχυνθεί κατά την κρίση του θεράποντος, ειδικά σε περίοδο επιδημικής έξαρσης RSV.</w:t>
      </w:r>
    </w:p>
    <w:p w14:paraId="1BFFA5A5" w14:textId="33914B17" w:rsidR="00CA5F8A" w:rsidRPr="00420049" w:rsidRDefault="00CA5F8A" w:rsidP="00CA5F8A">
      <w:pPr>
        <w:rPr>
          <w:b/>
          <w:bCs/>
          <w:lang w:val="el-GR"/>
        </w:rPr>
      </w:pPr>
      <w:r>
        <w:rPr>
          <w:b/>
          <w:bCs/>
          <w:lang w:val="el-GR"/>
        </w:rPr>
        <w:t>Βιβλιογραφικά δεδομένα</w:t>
      </w:r>
      <w:r w:rsidR="00824B04">
        <w:rPr>
          <w:b/>
          <w:bCs/>
          <w:lang w:val="el-GR"/>
        </w:rPr>
        <w:t xml:space="preserve"> αποτελεσματικότητας</w:t>
      </w:r>
    </w:p>
    <w:p w14:paraId="3982757F" w14:textId="1C9D76B6" w:rsidR="00CA5F8A" w:rsidRDefault="00CA5F8A" w:rsidP="00CA5F8A">
      <w:pPr>
        <w:rPr>
          <w:b/>
          <w:bCs/>
          <w:lang w:val="el-GR"/>
        </w:rPr>
      </w:pPr>
      <w:r>
        <w:rPr>
          <w:lang w:val="el-GR"/>
        </w:rPr>
        <w:t xml:space="preserve">Σε δύο τυχαιοποιημένες, διπλά τυφλές μελέτες με εικονικό φάρμακο που διεξήχθησαν, περίπου 100 και 3600 έγκυες γυναίκες που έλαβαν το μητρικό εμβόλιο για τον RSV, αντίστοιχα, συγκρίθηκαν με όμοιο αριθμό εγκύων που έλαβαν το εικονικό φάρμακο. Στην κλινική δοκιμή φάσης 3, το μητρικό εμβόλιο κατά του RSV φάνηκε να μειώνει τον κίνδυνο νοσηλείας για RSV του νεογνού κατά 68% και επίσκεψης υγειονομικής περίθαλψης για RSV κατά 57% εντός 3 μηνών μετά τη γέννηση και τον κίνδυνο νοσηλείας του νεογνού για RSV κατά 57% και επίσκεψης υγειονομικής περίθαλψης για RSV κατά 51% εντός 6 μηνών μετά τη γέννηση. Το μητρικό εμβόλιο κατά του RSV μείωσε τον κίνδυνο σοβαρής νόσου του RSV κατά 82% εντός 3 μηνών και κατά 69% εντός 6 μηνών μετά τη γέννηση, σε σχέση με τα νεογνά εγκύων που έλαβαν το εικονικό φάρμακο. Σε αυτή τη δοκιμή, η σοβαρή νόσος του RSV ορίστηκε ως λοίμωξη από RSV που οδηγεί σε ταχύπνοια, υποξαιμία, χρήση ρινικού καθετήρα υψηλής ροής ή </w:t>
      </w:r>
      <w:r>
        <w:rPr>
          <w:lang w:val="el-GR"/>
        </w:rPr>
        <w:lastRenderedPageBreak/>
        <w:t>μηχανικό αερισμό, εισαγωγή σε μονάδα εντατικής θεραπείας ή έλλειψη ανταπόκρισης</w:t>
      </w:r>
      <w:r w:rsidR="00473896" w:rsidRPr="00473896">
        <w:rPr>
          <w:lang w:val="el-GR"/>
        </w:rPr>
        <w:t xml:space="preserve"> </w:t>
      </w:r>
      <w:r w:rsidR="00473896">
        <w:rPr>
          <w:lang w:val="el-GR"/>
        </w:rPr>
        <w:t>στη θεραπευτική αγωγή</w:t>
      </w:r>
      <w:r>
        <w:rPr>
          <w:lang w:val="el-GR"/>
        </w:rPr>
        <w:t>.</w:t>
      </w:r>
    </w:p>
    <w:p w14:paraId="5CE258B6" w14:textId="77777777" w:rsidR="00CA5F8A" w:rsidRPr="00FC004E" w:rsidRDefault="00CA5F8A" w:rsidP="00CA5F8A">
      <w:pPr>
        <w:rPr>
          <w:lang w:val="el-GR"/>
        </w:rPr>
      </w:pPr>
      <w:r>
        <w:rPr>
          <w:b/>
          <w:bCs/>
          <w:lang w:val="el-GR"/>
        </w:rPr>
        <w:t>Ασφάλεια εμβολιασμού</w:t>
      </w:r>
    </w:p>
    <w:p w14:paraId="72721435" w14:textId="77777777" w:rsidR="00CA5F8A" w:rsidRDefault="00CA5F8A" w:rsidP="00CA5F8A">
      <w:pPr>
        <w:rPr>
          <w:lang w:val="el-GR"/>
        </w:rPr>
      </w:pPr>
      <w:r>
        <w:rPr>
          <w:lang w:val="el-GR"/>
        </w:rPr>
        <w:t>Στις κλινικές δοκιμές, οι πιο συχνά αναφερόμενες ανεπιθύμητες ενέργειες από εγκύους που έλαβαν το εμβόλιο RSVpreF (Abrysvo) ήταν πόνος στο σημείο της έγχυσης (40,6%) , πονοκέφαλος (31%), μυαλγία (26,5%) και ναυτία (20%).</w:t>
      </w:r>
    </w:p>
    <w:p w14:paraId="6C49CE8B" w14:textId="4D0C6D94" w:rsidR="00EF2C34" w:rsidRPr="00371FCE" w:rsidRDefault="00B6623B" w:rsidP="00B6623B">
      <w:pPr>
        <w:suppressAutoHyphens w:val="0"/>
        <w:spacing w:before="100" w:beforeAutospacing="1" w:after="100" w:afterAutospacing="1" w:line="240" w:lineRule="auto"/>
        <w:rPr>
          <w:rFonts w:asciiTheme="minorHAnsi" w:eastAsia="Times New Roman" w:hAnsiTheme="minorHAnsi" w:cstheme="minorHAnsi"/>
          <w:lang w:val="el-GR" w:eastAsia="en-US"/>
        </w:rPr>
      </w:pPr>
      <w:r w:rsidRPr="00371FCE">
        <w:rPr>
          <w:rFonts w:asciiTheme="minorHAnsi" w:hAnsiTheme="minorHAnsi" w:cstheme="minorHAnsi"/>
          <w:lang w:val="el-GR"/>
        </w:rPr>
        <w:t>Οι</w:t>
      </w:r>
      <w:r w:rsidRPr="00371FCE">
        <w:rPr>
          <w:rFonts w:asciiTheme="minorHAnsi" w:eastAsia="Times New Roman" w:hAnsiTheme="minorHAnsi" w:cstheme="minorHAnsi"/>
          <w:lang w:val="el-GR" w:eastAsia="en-US"/>
        </w:rPr>
        <w:t xml:space="preserve"> ανεπιθύμητες ενέργειες που αναφέρθηκαν στις μητέρες εντός 1</w:t>
      </w:r>
      <w:r w:rsidRPr="00371FCE">
        <w:rPr>
          <w:rFonts w:asciiTheme="minorHAnsi" w:eastAsia="Times New Roman" w:hAnsiTheme="minorHAnsi" w:cstheme="minorHAnsi"/>
          <w:lang w:eastAsia="en-US"/>
        </w:rPr>
        <w:t> </w:t>
      </w:r>
      <w:r w:rsidRPr="00371FCE">
        <w:rPr>
          <w:rFonts w:asciiTheme="minorHAnsi" w:eastAsia="Times New Roman" w:hAnsiTheme="minorHAnsi" w:cstheme="minorHAnsi"/>
          <w:lang w:val="el-GR" w:eastAsia="en-US"/>
        </w:rPr>
        <w:t xml:space="preserve">μηνός μετά τον εμβολιασμό ήταν παρόμοιες στην ομάδα του </w:t>
      </w:r>
      <w:r w:rsidRPr="00371FCE">
        <w:rPr>
          <w:rFonts w:asciiTheme="minorHAnsi" w:eastAsia="Times New Roman" w:hAnsiTheme="minorHAnsi" w:cstheme="minorHAnsi"/>
          <w:lang w:eastAsia="en-US"/>
        </w:rPr>
        <w:t>Ab</w:t>
      </w:r>
      <w:r w:rsidR="00371FCE">
        <w:rPr>
          <w:rFonts w:asciiTheme="minorHAnsi" w:eastAsia="Times New Roman" w:hAnsiTheme="minorHAnsi" w:cstheme="minorHAnsi"/>
          <w:lang w:eastAsia="en-US"/>
        </w:rPr>
        <w:t>r</w:t>
      </w:r>
      <w:r w:rsidRPr="00371FCE">
        <w:rPr>
          <w:rFonts w:asciiTheme="minorHAnsi" w:eastAsia="Times New Roman" w:hAnsiTheme="minorHAnsi" w:cstheme="minorHAnsi"/>
          <w:lang w:eastAsia="en-US"/>
        </w:rPr>
        <w:t>ysvo</w:t>
      </w:r>
      <w:r w:rsidRPr="00371FCE">
        <w:rPr>
          <w:rFonts w:asciiTheme="minorHAnsi" w:eastAsia="Times New Roman" w:hAnsiTheme="minorHAnsi" w:cstheme="minorHAnsi"/>
          <w:lang w:val="el-GR" w:eastAsia="en-US"/>
        </w:rPr>
        <w:t xml:space="preserve"> (14%) και στην ομάδα του εικονικού φαρμάκου (13%).</w:t>
      </w:r>
      <w:r w:rsidR="00371FCE" w:rsidRPr="00371FCE">
        <w:rPr>
          <w:rFonts w:asciiTheme="minorHAnsi" w:eastAsia="Times New Roman" w:hAnsiTheme="minorHAnsi" w:cstheme="minorHAnsi"/>
          <w:lang w:val="el-GR" w:eastAsia="en-US"/>
        </w:rPr>
        <w:t xml:space="preserve"> </w:t>
      </w:r>
      <w:r w:rsidR="0042661A" w:rsidRPr="00455461">
        <w:rPr>
          <w:rFonts w:asciiTheme="minorHAnsi" w:hAnsiTheme="minorHAnsi" w:cstheme="minorHAnsi"/>
          <w:lang w:val="el-GR"/>
        </w:rPr>
        <w:t>Οι υπερτασικές διαταραχές της εγκυμοσύνης (συμπεριλαμβανομένης της προεκλαμψίας) εμφανίστηκαν στο 1,8% των εγκύων που έλαβαν το εμβόλιο για τον RSV σε σύγκριση με το 1,4% των εγκύων που έλαβαν εικονικό φάρμακο</w:t>
      </w:r>
      <w:r w:rsidR="00371FCE" w:rsidRPr="00371FCE">
        <w:rPr>
          <w:rFonts w:asciiTheme="minorHAnsi" w:hAnsiTheme="minorHAnsi" w:cstheme="minorHAnsi"/>
          <w:lang w:val="el-GR"/>
        </w:rPr>
        <w:t>.</w:t>
      </w:r>
    </w:p>
    <w:p w14:paraId="5899CAE3" w14:textId="38631F6F" w:rsidR="006E7A43" w:rsidRPr="00607751" w:rsidRDefault="00B6623B" w:rsidP="006E7A43">
      <w:pPr>
        <w:suppressAutoHyphens w:val="0"/>
        <w:spacing w:before="100" w:beforeAutospacing="1" w:after="100" w:afterAutospacing="1" w:line="240" w:lineRule="auto"/>
        <w:rPr>
          <w:rFonts w:asciiTheme="minorHAnsi" w:eastAsia="Times New Roman" w:hAnsiTheme="minorHAnsi" w:cstheme="minorHAnsi"/>
          <w:lang w:val="el-GR" w:eastAsia="en-US"/>
        </w:rPr>
      </w:pPr>
      <w:r w:rsidRPr="00371FCE">
        <w:rPr>
          <w:rFonts w:asciiTheme="minorHAnsi" w:eastAsia="Times New Roman" w:hAnsiTheme="minorHAnsi" w:cstheme="minorHAnsi"/>
          <w:lang w:val="el-GR" w:eastAsia="en-US"/>
        </w:rPr>
        <w:t xml:space="preserve">Στις μείζονες εκβάσεις του τοκετού που αξιολογήθηκαν στην ομάδα του </w:t>
      </w:r>
      <w:r w:rsidRPr="00371FCE">
        <w:rPr>
          <w:rFonts w:asciiTheme="minorHAnsi" w:eastAsia="Times New Roman" w:hAnsiTheme="minorHAnsi" w:cstheme="minorHAnsi"/>
          <w:lang w:eastAsia="en-US"/>
        </w:rPr>
        <w:t>Abrysvo</w:t>
      </w:r>
      <w:r w:rsidRPr="00371FCE">
        <w:rPr>
          <w:rFonts w:asciiTheme="minorHAnsi" w:eastAsia="Times New Roman" w:hAnsiTheme="minorHAnsi" w:cstheme="minorHAnsi"/>
          <w:lang w:val="el-GR" w:eastAsia="en-US"/>
        </w:rPr>
        <w:t xml:space="preserve"> σε σύγκριση με την ομάδα του εικονικού φαρμάκου συγκαταλέγονταν πρόωρος τοκετός [201 (6%) και 169 (5%), αντίστοιχα], χαμηλό βάρος κατά τη γέννηση [181 (5%) και 155 (4%), αντίστοιχα] και συγγενείς ανωμαλίες [174 (5%) και 203 (6%), αντίστοιχα]</w:t>
      </w:r>
      <w:r w:rsidR="00CA5F8A" w:rsidRPr="00371FCE">
        <w:rPr>
          <w:rFonts w:asciiTheme="minorHAnsi" w:hAnsiTheme="minorHAnsi" w:cstheme="minorHAnsi"/>
          <w:lang w:val="el-GR"/>
        </w:rPr>
        <w:t xml:space="preserve">, χωρίς ωστόσο, αυτή η διαφορά να είναι στατιστικά σημαντική. </w:t>
      </w:r>
      <w:r w:rsidR="006E7A43" w:rsidRPr="00607751">
        <w:rPr>
          <w:rFonts w:asciiTheme="minorHAnsi" w:eastAsia="Times New Roman" w:hAnsiTheme="minorHAnsi" w:cstheme="minorHAnsi"/>
          <w:lang w:val="el-GR" w:eastAsia="en-US"/>
        </w:rPr>
        <w:t>Οι επιπτώσεις των ανεπιθύμητων ενεργειών που αναφέρθηκαν στα βρέφη εντός 1</w:t>
      </w:r>
      <w:r w:rsidR="006E7A43" w:rsidRPr="00607751">
        <w:rPr>
          <w:rFonts w:asciiTheme="minorHAnsi" w:eastAsia="Times New Roman" w:hAnsiTheme="minorHAnsi" w:cstheme="minorHAnsi"/>
          <w:lang w:eastAsia="en-US"/>
        </w:rPr>
        <w:t> </w:t>
      </w:r>
      <w:r w:rsidR="006E7A43" w:rsidRPr="00607751">
        <w:rPr>
          <w:rFonts w:asciiTheme="minorHAnsi" w:eastAsia="Times New Roman" w:hAnsiTheme="minorHAnsi" w:cstheme="minorHAnsi"/>
          <w:lang w:val="el-GR" w:eastAsia="en-US"/>
        </w:rPr>
        <w:t xml:space="preserve">μηνός από τη γέννηση ήταν παρόμοιες στην ομάδα του </w:t>
      </w:r>
      <w:r w:rsidR="006E7A43" w:rsidRPr="00607751">
        <w:rPr>
          <w:rFonts w:asciiTheme="minorHAnsi" w:eastAsia="Times New Roman" w:hAnsiTheme="minorHAnsi" w:cstheme="minorHAnsi"/>
          <w:lang w:eastAsia="en-US"/>
        </w:rPr>
        <w:t>Abrysvo</w:t>
      </w:r>
      <w:r w:rsidR="006E7A43" w:rsidRPr="00607751">
        <w:rPr>
          <w:rFonts w:asciiTheme="minorHAnsi" w:eastAsia="Times New Roman" w:hAnsiTheme="minorHAnsi" w:cstheme="minorHAnsi"/>
          <w:lang w:val="el-GR" w:eastAsia="en-US"/>
        </w:rPr>
        <w:t xml:space="preserve"> (37%) και στην ομάδα του εικονικού φαρμάκου (35%). </w:t>
      </w:r>
      <w:r w:rsidR="006E7A43" w:rsidRPr="00AA1F31">
        <w:rPr>
          <w:rFonts w:asciiTheme="minorHAnsi" w:eastAsia="Times New Roman" w:hAnsiTheme="minorHAnsi" w:cstheme="minorHAnsi"/>
          <w:lang w:val="el-GR" w:eastAsia="en-US"/>
        </w:rPr>
        <w:t>Δεν εντοπίστηκαν σήματα ασφάλειας στα βρέφη έως 24</w:t>
      </w:r>
      <w:r w:rsidR="006E7A43" w:rsidRPr="00AA1F31">
        <w:rPr>
          <w:rFonts w:asciiTheme="minorHAnsi" w:eastAsia="Times New Roman" w:hAnsiTheme="minorHAnsi" w:cstheme="minorHAnsi"/>
          <w:lang w:eastAsia="en-US"/>
        </w:rPr>
        <w:t> </w:t>
      </w:r>
      <w:r w:rsidR="006E7A43" w:rsidRPr="00AA1F31">
        <w:rPr>
          <w:rFonts w:asciiTheme="minorHAnsi" w:eastAsia="Times New Roman" w:hAnsiTheme="minorHAnsi" w:cstheme="minorHAnsi"/>
          <w:lang w:val="el-GR" w:eastAsia="en-US"/>
        </w:rPr>
        <w:t>μηνών.</w:t>
      </w:r>
    </w:p>
    <w:p w14:paraId="3757B691" w14:textId="4A66C841" w:rsidR="006B3794" w:rsidRDefault="00CA5F8A" w:rsidP="00371FCE">
      <w:pPr>
        <w:suppressAutoHyphens w:val="0"/>
        <w:spacing w:before="100" w:beforeAutospacing="1" w:after="100" w:afterAutospacing="1" w:line="240" w:lineRule="auto"/>
        <w:rPr>
          <w:rFonts w:asciiTheme="minorHAnsi" w:hAnsiTheme="minorHAnsi" w:cstheme="minorHAnsi"/>
          <w:lang w:val="el-GR"/>
        </w:rPr>
      </w:pPr>
      <w:r w:rsidRPr="00371FCE">
        <w:rPr>
          <w:rFonts w:asciiTheme="minorHAnsi" w:hAnsiTheme="minorHAnsi" w:cstheme="minorHAnsi"/>
          <w:lang w:val="el-GR"/>
        </w:rPr>
        <w:t xml:space="preserve">Τα διαθέσιμα δεδομένα είναι ανεπαρκή για να τεκμηριώσουν ή να αποκλείσουν μια αιτιολογική σχέση μεταξύ πρόωρου τοκετού και του εμβολίου RSVpreF (Abrysvo). Για να </w:t>
      </w:r>
      <w:r w:rsidR="00013DBB" w:rsidRPr="00371FCE">
        <w:rPr>
          <w:rFonts w:asciiTheme="minorHAnsi" w:hAnsiTheme="minorHAnsi" w:cstheme="minorHAnsi"/>
          <w:lang w:val="el-GR"/>
        </w:rPr>
        <w:t>εξαλειφθεί ο θεωρητικός</w:t>
      </w:r>
      <w:r w:rsidRPr="00371FCE">
        <w:rPr>
          <w:rFonts w:asciiTheme="minorHAnsi" w:hAnsiTheme="minorHAnsi" w:cstheme="minorHAnsi"/>
          <w:lang w:val="el-GR"/>
        </w:rPr>
        <w:t xml:space="preserve"> κίνδυνος πρόωρου τοκετού </w:t>
      </w:r>
      <w:r w:rsidR="00013DBB" w:rsidRPr="00371FCE">
        <w:rPr>
          <w:rFonts w:asciiTheme="minorHAnsi" w:hAnsiTheme="minorHAnsi" w:cstheme="minorHAnsi"/>
          <w:lang w:val="el-GR"/>
        </w:rPr>
        <w:t>μετά</w:t>
      </w:r>
      <w:r w:rsidRPr="00371FCE">
        <w:rPr>
          <w:rFonts w:asciiTheme="minorHAnsi" w:hAnsiTheme="minorHAnsi" w:cstheme="minorHAnsi"/>
          <w:lang w:val="el-GR"/>
        </w:rPr>
        <w:t xml:space="preserve"> τη χορήγηση του μητρικού εμβολίου RSV, η FDA ενέκρινε το εμβόλιο για χρήση </w:t>
      </w:r>
      <w:r w:rsidR="00F9128D">
        <w:rPr>
          <w:rFonts w:asciiTheme="minorHAnsi" w:hAnsiTheme="minorHAnsi" w:cstheme="minorHAnsi"/>
          <w:lang w:val="el-GR"/>
        </w:rPr>
        <w:t>μεταξύ της</w:t>
      </w:r>
      <w:r w:rsidRPr="00371FCE">
        <w:rPr>
          <w:rFonts w:asciiTheme="minorHAnsi" w:hAnsiTheme="minorHAnsi" w:cstheme="minorHAnsi"/>
          <w:lang w:val="el-GR"/>
        </w:rPr>
        <w:t xml:space="preserve"> 32</w:t>
      </w:r>
      <w:r w:rsidR="00F9128D">
        <w:rPr>
          <w:rFonts w:asciiTheme="minorHAnsi" w:hAnsiTheme="minorHAnsi" w:cstheme="minorHAnsi"/>
          <w:lang w:val="el-GR"/>
        </w:rPr>
        <w:t>ης</w:t>
      </w:r>
      <w:r w:rsidRPr="00371FCE">
        <w:rPr>
          <w:rFonts w:asciiTheme="minorHAnsi" w:hAnsiTheme="minorHAnsi" w:cstheme="minorHAnsi"/>
          <w:lang w:val="el-GR"/>
        </w:rPr>
        <w:t xml:space="preserve"> έως 36</w:t>
      </w:r>
      <w:r w:rsidR="00F9128D" w:rsidRPr="00F9128D">
        <w:rPr>
          <w:rFonts w:asciiTheme="minorHAnsi" w:hAnsiTheme="minorHAnsi" w:cstheme="minorHAnsi"/>
          <w:vertAlign w:val="superscript"/>
          <w:lang w:val="el-GR"/>
        </w:rPr>
        <w:t>ης</w:t>
      </w:r>
      <w:r w:rsidR="00F9128D">
        <w:rPr>
          <w:rFonts w:asciiTheme="minorHAnsi" w:hAnsiTheme="minorHAnsi" w:cstheme="minorHAnsi"/>
          <w:lang w:val="el-GR"/>
        </w:rPr>
        <w:t xml:space="preserve"> εβδομάδας</w:t>
      </w:r>
      <w:r w:rsidRPr="00371FCE">
        <w:rPr>
          <w:rFonts w:asciiTheme="minorHAnsi" w:hAnsiTheme="minorHAnsi" w:cstheme="minorHAnsi"/>
          <w:lang w:val="el-GR"/>
        </w:rPr>
        <w:t xml:space="preserve"> της </w:t>
      </w:r>
      <w:r w:rsidR="00F9128D">
        <w:rPr>
          <w:rFonts w:asciiTheme="minorHAnsi" w:hAnsiTheme="minorHAnsi" w:cstheme="minorHAnsi"/>
          <w:lang w:val="el-GR"/>
        </w:rPr>
        <w:t>κύησης</w:t>
      </w:r>
      <w:r w:rsidR="0020296F" w:rsidRPr="00371FCE">
        <w:rPr>
          <w:rFonts w:asciiTheme="minorHAnsi" w:hAnsiTheme="minorHAnsi" w:cstheme="minorHAnsi"/>
          <w:lang w:val="el-GR"/>
        </w:rPr>
        <w:t xml:space="preserve">, σύσταση με την οποία συμφωνεί και το </w:t>
      </w:r>
      <w:r w:rsidR="0020296F" w:rsidRPr="00371FCE">
        <w:rPr>
          <w:rFonts w:asciiTheme="minorHAnsi" w:hAnsiTheme="minorHAnsi" w:cstheme="minorHAnsi"/>
        </w:rPr>
        <w:t>ACOG</w:t>
      </w:r>
      <w:r w:rsidR="0020296F" w:rsidRPr="00371FCE">
        <w:rPr>
          <w:rFonts w:asciiTheme="minorHAnsi" w:hAnsiTheme="minorHAnsi" w:cstheme="minorHAnsi"/>
          <w:lang w:val="el-GR"/>
        </w:rPr>
        <w:t xml:space="preserve"> </w:t>
      </w:r>
      <w:r w:rsidRPr="00371FCE">
        <w:rPr>
          <w:rFonts w:asciiTheme="minorHAnsi" w:hAnsiTheme="minorHAnsi" w:cstheme="minorHAnsi"/>
          <w:lang w:val="el-GR"/>
        </w:rPr>
        <w:t>[3</w:t>
      </w:r>
      <w:r w:rsidR="006B3794" w:rsidRPr="00371FCE">
        <w:rPr>
          <w:rFonts w:asciiTheme="minorHAnsi" w:hAnsiTheme="minorHAnsi" w:cstheme="minorHAnsi"/>
          <w:lang w:val="el-GR"/>
        </w:rPr>
        <w:t>,9</w:t>
      </w:r>
      <w:r w:rsidRPr="00371FCE">
        <w:rPr>
          <w:rFonts w:asciiTheme="minorHAnsi" w:hAnsiTheme="minorHAnsi" w:cstheme="minorHAnsi"/>
          <w:lang w:val="el-GR"/>
        </w:rPr>
        <w:t>].</w:t>
      </w:r>
    </w:p>
    <w:p w14:paraId="7420FD7F" w14:textId="77777777" w:rsidR="00EA584D" w:rsidRDefault="009A7653">
      <w:pPr>
        <w:rPr>
          <w:lang w:val="el-GR"/>
        </w:rPr>
      </w:pPr>
      <w:r>
        <w:rPr>
          <w:b/>
          <w:bCs/>
          <w:lang w:val="el-GR"/>
        </w:rPr>
        <w:t>Συνεχείς Μελέτες και Επιτήρηση</w:t>
      </w:r>
    </w:p>
    <w:p w14:paraId="5DBFD1F9" w14:textId="7A043EFF" w:rsidR="00371FCE" w:rsidRDefault="009A7653">
      <w:pPr>
        <w:rPr>
          <w:lang w:val="el-GR"/>
        </w:rPr>
      </w:pPr>
      <w:r>
        <w:rPr>
          <w:lang w:val="el-GR"/>
        </w:rPr>
        <w:t xml:space="preserve">Η ασφάλεια και η αποτελεσματικότητα του μητρικού εμβολίου έναντι του RSV </w:t>
      </w:r>
      <w:r w:rsidR="00A1472A">
        <w:rPr>
          <w:lang w:val="el-GR"/>
        </w:rPr>
        <w:t>παρακολουθείται συνεχώς και η παρούσα οδηγία θα επικαιροποιείται με βάση τα νεότερα</w:t>
      </w:r>
      <w:r>
        <w:rPr>
          <w:lang w:val="el-GR"/>
        </w:rPr>
        <w:t xml:space="preserve"> δεδομένα. </w:t>
      </w:r>
    </w:p>
    <w:p w14:paraId="4F939113" w14:textId="77777777" w:rsidR="001D1452" w:rsidRDefault="001D1452">
      <w:pPr>
        <w:rPr>
          <w:lang w:val="el-GR"/>
        </w:rPr>
      </w:pPr>
    </w:p>
    <w:p w14:paraId="6001EFE4" w14:textId="16F57808" w:rsidR="001D1452" w:rsidRPr="001D1452" w:rsidRDefault="001D1452">
      <w:pPr>
        <w:rPr>
          <w:b/>
          <w:bCs/>
          <w:lang w:val="el-GR"/>
        </w:rPr>
      </w:pPr>
      <w:r>
        <w:rPr>
          <w:b/>
          <w:bCs/>
          <w:lang w:val="el-GR"/>
        </w:rPr>
        <w:t xml:space="preserve">Ομάδα Σύνταξης </w:t>
      </w:r>
    </w:p>
    <w:p w14:paraId="582FF60D" w14:textId="4B1478EF" w:rsidR="00371FCE" w:rsidRPr="00371FCE" w:rsidRDefault="00371FCE" w:rsidP="00371FCE">
      <w:pPr>
        <w:rPr>
          <w:lang w:val="el-GR"/>
        </w:rPr>
      </w:pPr>
      <w:r w:rsidRPr="00371FCE">
        <w:rPr>
          <w:lang w:val="el-GR"/>
        </w:rPr>
        <w:t>Το ΔΣ της Ελληνικής Εταιρείας Μαιευτικών και Γυναικολογικών Λοιμώξεων και το ΔΣ της Ελληνικής Εταιρείας Περιγεννητικής Ιατρικής προχώρησαν από κοινού στην έκδοση της παραπάνω κατευθυντήριας οδηγίας η οποία συντάχθηκε από τους:</w:t>
      </w:r>
    </w:p>
    <w:p w14:paraId="42FF282A" w14:textId="77777777" w:rsidR="00371FCE" w:rsidRPr="00371FCE" w:rsidRDefault="00371FCE" w:rsidP="00597378">
      <w:pPr>
        <w:spacing w:line="240" w:lineRule="auto"/>
        <w:rPr>
          <w:lang w:val="el-GR"/>
        </w:rPr>
      </w:pPr>
      <w:r w:rsidRPr="00371FCE">
        <w:rPr>
          <w:lang w:val="el-GR"/>
        </w:rPr>
        <w:t>Ακινόσογλου Καρολίνα – Παθολόγος Λοιμωξιολόγος</w:t>
      </w:r>
    </w:p>
    <w:p w14:paraId="7BA0F600" w14:textId="77777777" w:rsidR="000924CE" w:rsidRPr="00371FCE" w:rsidRDefault="000924CE" w:rsidP="00597378">
      <w:pPr>
        <w:spacing w:line="240" w:lineRule="auto"/>
        <w:rPr>
          <w:lang w:val="el-GR"/>
        </w:rPr>
      </w:pPr>
      <w:r w:rsidRPr="00371FCE">
        <w:rPr>
          <w:lang w:val="el-GR"/>
        </w:rPr>
        <w:t xml:space="preserve">Δασκαλάκης Γεώργιος – Μαιευτήρας Γυναικολόγος </w:t>
      </w:r>
    </w:p>
    <w:p w14:paraId="51B4AC1F" w14:textId="18B201B8" w:rsidR="00371FCE" w:rsidRPr="00371FCE" w:rsidRDefault="000924CE" w:rsidP="00597378">
      <w:pPr>
        <w:spacing w:line="240" w:lineRule="auto"/>
        <w:rPr>
          <w:lang w:val="el-GR"/>
        </w:rPr>
      </w:pPr>
      <w:r>
        <w:rPr>
          <w:lang w:val="el-GR"/>
        </w:rPr>
        <w:t>Θεοδωρά Μαριάννα</w:t>
      </w:r>
      <w:r w:rsidR="00371FCE" w:rsidRPr="00371FCE">
        <w:rPr>
          <w:lang w:val="el-GR"/>
        </w:rPr>
        <w:t xml:space="preserve"> – Μαιευτήρας Γυναικολόγος </w:t>
      </w:r>
    </w:p>
    <w:p w14:paraId="698F89EC" w14:textId="7A70F7B7" w:rsidR="00371FCE" w:rsidRPr="00371FCE" w:rsidRDefault="000924CE" w:rsidP="00597378">
      <w:pPr>
        <w:spacing w:line="240" w:lineRule="auto"/>
        <w:rPr>
          <w:lang w:val="el-GR"/>
        </w:rPr>
      </w:pPr>
      <w:r>
        <w:rPr>
          <w:lang w:val="el-GR"/>
        </w:rPr>
        <w:lastRenderedPageBreak/>
        <w:t>Κοντογεώργη Ευαγγελία</w:t>
      </w:r>
      <w:r w:rsidR="00371FCE" w:rsidRPr="00371FCE">
        <w:rPr>
          <w:lang w:val="el-GR"/>
        </w:rPr>
        <w:t xml:space="preserve"> – Ειδ. Μαιευτήρας  Γυναικολόγος </w:t>
      </w:r>
    </w:p>
    <w:p w14:paraId="42AB1274" w14:textId="77777777" w:rsidR="00371FCE" w:rsidRPr="00371FCE" w:rsidRDefault="00371FCE" w:rsidP="00597378">
      <w:pPr>
        <w:spacing w:line="240" w:lineRule="auto"/>
        <w:rPr>
          <w:lang w:val="el-GR"/>
        </w:rPr>
      </w:pPr>
      <w:r w:rsidRPr="00371FCE">
        <w:rPr>
          <w:lang w:val="el-GR"/>
        </w:rPr>
        <w:t xml:space="preserve">Τσιάκαλος Αριστοτέλης – Παθολόγος Λοιμωξιολόγος </w:t>
      </w:r>
    </w:p>
    <w:p w14:paraId="35367F9C" w14:textId="37EFBF50" w:rsidR="00371FCE" w:rsidRDefault="00371FCE" w:rsidP="00597378">
      <w:pPr>
        <w:spacing w:line="240" w:lineRule="auto"/>
        <w:rPr>
          <w:lang w:val="el-GR"/>
        </w:rPr>
      </w:pPr>
      <w:r w:rsidRPr="00371FCE">
        <w:rPr>
          <w:lang w:val="el-GR"/>
        </w:rPr>
        <w:t>Ψαρρής Αλέξανδρος – Μαιευτήρας Γυναικολόγος</w:t>
      </w:r>
    </w:p>
    <w:p w14:paraId="23C9541C" w14:textId="77777777" w:rsidR="008202C9" w:rsidRDefault="008202C9" w:rsidP="00371FCE">
      <w:pPr>
        <w:rPr>
          <w:lang w:val="el-GR"/>
        </w:rPr>
      </w:pPr>
    </w:p>
    <w:p w14:paraId="249AE4B5" w14:textId="3BBCFF61" w:rsidR="008202C9" w:rsidRPr="00597378" w:rsidRDefault="008202C9" w:rsidP="00597378">
      <w:pPr>
        <w:spacing w:after="0" w:line="240" w:lineRule="auto"/>
        <w:ind w:left="5760" w:hanging="5760"/>
        <w:rPr>
          <w:i/>
          <w:iCs/>
          <w:lang w:val="el-GR"/>
        </w:rPr>
      </w:pPr>
      <w:r w:rsidRPr="00597378">
        <w:rPr>
          <w:i/>
          <w:iCs/>
          <w:lang w:val="el-GR"/>
        </w:rPr>
        <w:t>ΔΣ Ελληνικής Εταιρείας Περιγεννητικής Ιατρικής:</w:t>
      </w:r>
      <w:r w:rsidR="00597378" w:rsidRPr="00597378">
        <w:rPr>
          <w:i/>
          <w:iCs/>
          <w:lang w:val="el-GR"/>
        </w:rPr>
        <w:tab/>
        <w:t>ΔΣ Ελληνικής Εταιρείας Μαιευτικών και Γυναικολογικών Λοιμώξεων:</w:t>
      </w:r>
    </w:p>
    <w:p w14:paraId="20CCCECD" w14:textId="1061C74E" w:rsidR="008202C9" w:rsidRDefault="008202C9" w:rsidP="00597378">
      <w:pPr>
        <w:spacing w:after="0" w:line="240" w:lineRule="auto"/>
        <w:rPr>
          <w:lang w:val="el-GR"/>
        </w:rPr>
      </w:pPr>
      <w:r w:rsidRPr="00597378">
        <w:rPr>
          <w:b/>
          <w:bCs/>
          <w:lang w:val="el-GR"/>
        </w:rPr>
        <w:t>Πρόεδρος</w:t>
      </w:r>
      <w:r w:rsidR="00597378" w:rsidRPr="00597378">
        <w:rPr>
          <w:b/>
          <w:bCs/>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sidRPr="00597378">
        <w:rPr>
          <w:b/>
          <w:bCs/>
          <w:lang w:val="el-GR"/>
        </w:rPr>
        <w:t>Πρόεδρος</w:t>
      </w:r>
    </w:p>
    <w:p w14:paraId="670A1A7C" w14:textId="1227C239" w:rsidR="008202C9" w:rsidRPr="00597378" w:rsidRDefault="008202C9" w:rsidP="00597378">
      <w:pPr>
        <w:spacing w:after="0" w:line="240" w:lineRule="auto"/>
        <w:rPr>
          <w:lang w:val="el-GR"/>
        </w:rPr>
      </w:pPr>
      <w:r>
        <w:rPr>
          <w:lang w:val="el-GR"/>
        </w:rPr>
        <w:t>Δασκαλάκης Γεώργιος</w:t>
      </w:r>
      <w:r w:rsidR="00597378">
        <w:rPr>
          <w:lang w:val="el-GR"/>
        </w:rPr>
        <w:t xml:space="preserve"> </w:t>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t>Τσιάκαλος Αριστοτέλης</w:t>
      </w:r>
    </w:p>
    <w:p w14:paraId="0E40DD70" w14:textId="1A52B1BE" w:rsidR="008202C9" w:rsidRPr="00597378" w:rsidRDefault="008202C9" w:rsidP="00597378">
      <w:pPr>
        <w:spacing w:after="0" w:line="240" w:lineRule="auto"/>
        <w:rPr>
          <w:b/>
          <w:bCs/>
          <w:lang w:val="el-GR"/>
        </w:rPr>
      </w:pPr>
      <w:r w:rsidRPr="00597378">
        <w:rPr>
          <w:b/>
          <w:bCs/>
          <w:lang w:val="el-GR"/>
        </w:rPr>
        <w:t>Αντιπρόεδρος</w:t>
      </w:r>
      <w:r w:rsidR="00597378" w:rsidRPr="00597378">
        <w:rPr>
          <w:b/>
          <w:bCs/>
          <w:lang w:val="el-GR"/>
        </w:rPr>
        <w:t xml:space="preserve"> </w:t>
      </w:r>
      <w:r w:rsidR="00597378" w:rsidRPr="00597378">
        <w:rPr>
          <w:b/>
          <w:bCs/>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sidRPr="00597378">
        <w:rPr>
          <w:b/>
          <w:bCs/>
          <w:lang w:val="el-GR"/>
        </w:rPr>
        <w:t>Αντιπρόεδροι</w:t>
      </w:r>
    </w:p>
    <w:p w14:paraId="573E7F2E" w14:textId="71797FDE" w:rsidR="008202C9" w:rsidRDefault="008202C9" w:rsidP="00597378">
      <w:pPr>
        <w:spacing w:after="0" w:line="240" w:lineRule="auto"/>
        <w:rPr>
          <w:lang w:val="el-GR"/>
        </w:rPr>
      </w:pPr>
      <w:r>
        <w:rPr>
          <w:lang w:val="el-GR"/>
        </w:rPr>
        <w:t>Χαρίτου Αντωνία</w:t>
      </w:r>
      <w:r w:rsidR="00597378">
        <w:rPr>
          <w:lang w:val="el-GR"/>
        </w:rPr>
        <w:t xml:space="preserve"> </w:t>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t>Γώγος Χαράλαμπος</w:t>
      </w:r>
    </w:p>
    <w:p w14:paraId="701FBA50" w14:textId="5D2B4A2D" w:rsidR="00597378" w:rsidRDefault="00597378" w:rsidP="00597378">
      <w:pPr>
        <w:spacing w:after="0" w:line="240" w:lineRule="auto"/>
        <w:rPr>
          <w:lang w:val="el-GR"/>
        </w:rPr>
      </w:pPr>
      <w:r>
        <w:rPr>
          <w:lang w:val="el-GR"/>
        </w:rPr>
        <w:tab/>
      </w:r>
      <w:r>
        <w:rPr>
          <w:lang w:val="el-GR"/>
        </w:rPr>
        <w:tab/>
        <w:t xml:space="preserve"> </w:t>
      </w:r>
      <w:r>
        <w:rPr>
          <w:lang w:val="el-GR"/>
        </w:rPr>
        <w:tab/>
      </w:r>
      <w:r>
        <w:rPr>
          <w:lang w:val="el-GR"/>
        </w:rPr>
        <w:tab/>
      </w:r>
      <w:r>
        <w:rPr>
          <w:lang w:val="el-GR"/>
        </w:rPr>
        <w:tab/>
      </w:r>
      <w:r>
        <w:rPr>
          <w:lang w:val="el-GR"/>
        </w:rPr>
        <w:tab/>
      </w:r>
      <w:r>
        <w:rPr>
          <w:lang w:val="el-GR"/>
        </w:rPr>
        <w:tab/>
      </w:r>
      <w:r>
        <w:rPr>
          <w:lang w:val="el-GR"/>
        </w:rPr>
        <w:tab/>
      </w:r>
      <w:r>
        <w:rPr>
          <w:lang w:val="el-GR"/>
        </w:rPr>
        <w:tab/>
        <w:t>Δασκαλάκης Γεώργιος</w:t>
      </w:r>
    </w:p>
    <w:p w14:paraId="19128371" w14:textId="60C99B27" w:rsidR="008202C9" w:rsidRPr="00597378" w:rsidRDefault="008202C9" w:rsidP="00597378">
      <w:pPr>
        <w:spacing w:after="0" w:line="240" w:lineRule="auto"/>
        <w:rPr>
          <w:b/>
          <w:bCs/>
          <w:lang w:val="el-GR"/>
        </w:rPr>
      </w:pPr>
      <w:r w:rsidRPr="00597378">
        <w:rPr>
          <w:b/>
          <w:bCs/>
          <w:lang w:val="el-GR"/>
        </w:rPr>
        <w:t>Γ</w:t>
      </w:r>
      <w:r w:rsidR="00597378" w:rsidRPr="00597378">
        <w:rPr>
          <w:b/>
          <w:bCs/>
          <w:lang w:val="el-GR"/>
        </w:rPr>
        <w:t xml:space="preserve">. </w:t>
      </w:r>
      <w:r w:rsidRPr="00597378">
        <w:rPr>
          <w:b/>
          <w:bCs/>
          <w:lang w:val="el-GR"/>
        </w:rPr>
        <w:t>Γραμματέας</w:t>
      </w:r>
      <w:r w:rsidR="00597378" w:rsidRPr="00597378">
        <w:rPr>
          <w:b/>
          <w:bCs/>
          <w:lang w:val="el-GR"/>
        </w:rPr>
        <w:tab/>
      </w:r>
      <w:r w:rsidR="00597378" w:rsidRPr="00597378">
        <w:rPr>
          <w:b/>
          <w:bCs/>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sidRPr="00597378">
        <w:rPr>
          <w:b/>
          <w:bCs/>
          <w:lang w:val="el-GR"/>
        </w:rPr>
        <w:t xml:space="preserve"> Γ. Γραμματέας</w:t>
      </w:r>
    </w:p>
    <w:p w14:paraId="7D080089" w14:textId="31521C35" w:rsidR="008202C9" w:rsidRDefault="008202C9" w:rsidP="00597378">
      <w:pPr>
        <w:spacing w:after="0" w:line="240" w:lineRule="auto"/>
        <w:rPr>
          <w:lang w:val="el-GR"/>
        </w:rPr>
      </w:pPr>
      <w:proofErr w:type="spellStart"/>
      <w:r>
        <w:rPr>
          <w:lang w:val="el-GR"/>
        </w:rPr>
        <w:t>Αντατολίτου</w:t>
      </w:r>
      <w:proofErr w:type="spellEnd"/>
      <w:r>
        <w:rPr>
          <w:lang w:val="el-GR"/>
        </w:rPr>
        <w:t xml:space="preserve"> Φανή</w:t>
      </w:r>
      <w:r w:rsidR="00597378">
        <w:rPr>
          <w:lang w:val="el-GR"/>
        </w:rPr>
        <w:t xml:space="preserve"> </w:t>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proofErr w:type="spellStart"/>
      <w:r w:rsidR="00597378">
        <w:rPr>
          <w:lang w:val="el-GR"/>
        </w:rPr>
        <w:t>Ακινόσογλου</w:t>
      </w:r>
      <w:proofErr w:type="spellEnd"/>
      <w:r w:rsidR="00597378">
        <w:rPr>
          <w:lang w:val="el-GR"/>
        </w:rPr>
        <w:t xml:space="preserve"> Καρολίνα</w:t>
      </w:r>
    </w:p>
    <w:p w14:paraId="4ADAF6A7" w14:textId="3610EC74" w:rsidR="008202C9" w:rsidRPr="00597378" w:rsidRDefault="008202C9" w:rsidP="00597378">
      <w:pPr>
        <w:spacing w:after="0" w:line="240" w:lineRule="auto"/>
        <w:rPr>
          <w:b/>
          <w:bCs/>
          <w:lang w:val="el-GR"/>
        </w:rPr>
      </w:pPr>
      <w:r w:rsidRPr="00597378">
        <w:rPr>
          <w:b/>
          <w:bCs/>
          <w:lang w:val="el-GR"/>
        </w:rPr>
        <w:t>Ταμίας</w:t>
      </w:r>
      <w:r w:rsidR="00597378" w:rsidRPr="00597378">
        <w:rPr>
          <w:b/>
          <w:bCs/>
          <w:lang w:val="el-GR"/>
        </w:rPr>
        <w:t xml:space="preserve"> </w:t>
      </w:r>
      <w:r w:rsidR="00597378" w:rsidRPr="00597378">
        <w:rPr>
          <w:b/>
          <w:bCs/>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sidRPr="00597378">
        <w:rPr>
          <w:b/>
          <w:bCs/>
          <w:lang w:val="el-GR"/>
        </w:rPr>
        <w:t>Ταμίας</w:t>
      </w:r>
    </w:p>
    <w:p w14:paraId="0FD0B3BB" w14:textId="424BF7C1" w:rsidR="008202C9" w:rsidRDefault="008202C9" w:rsidP="00597378">
      <w:pPr>
        <w:spacing w:after="0" w:line="240" w:lineRule="auto"/>
        <w:rPr>
          <w:lang w:val="el-GR"/>
        </w:rPr>
      </w:pPr>
      <w:proofErr w:type="spellStart"/>
      <w:r>
        <w:rPr>
          <w:lang w:val="el-GR"/>
        </w:rPr>
        <w:t>Πάμπανος</w:t>
      </w:r>
      <w:proofErr w:type="spellEnd"/>
      <w:r>
        <w:rPr>
          <w:lang w:val="el-GR"/>
        </w:rPr>
        <w:t xml:space="preserve"> Ανδρέας</w:t>
      </w:r>
      <w:r w:rsidR="00597378">
        <w:rPr>
          <w:lang w:val="el-GR"/>
        </w:rPr>
        <w:t xml:space="preserve"> </w:t>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proofErr w:type="spellStart"/>
      <w:r w:rsidR="00597378">
        <w:rPr>
          <w:lang w:val="el-GR"/>
        </w:rPr>
        <w:t>Ψαρρής</w:t>
      </w:r>
      <w:proofErr w:type="spellEnd"/>
      <w:r w:rsidR="00597378">
        <w:rPr>
          <w:lang w:val="el-GR"/>
        </w:rPr>
        <w:t xml:space="preserve"> Αλέξανδρος</w:t>
      </w:r>
    </w:p>
    <w:p w14:paraId="15BCE5F5" w14:textId="776C8A3E" w:rsidR="008202C9" w:rsidRPr="00597378" w:rsidRDefault="008202C9" w:rsidP="00597378">
      <w:pPr>
        <w:spacing w:after="0" w:line="240" w:lineRule="auto"/>
        <w:rPr>
          <w:b/>
          <w:bCs/>
          <w:lang w:val="el-GR"/>
        </w:rPr>
      </w:pPr>
      <w:r w:rsidRPr="00597378">
        <w:rPr>
          <w:b/>
          <w:bCs/>
          <w:lang w:val="el-GR"/>
        </w:rPr>
        <w:t>Μέλη</w:t>
      </w:r>
      <w:r w:rsidR="00597378" w:rsidRPr="00597378">
        <w:rPr>
          <w:b/>
          <w:bCs/>
          <w:lang w:val="el-GR"/>
        </w:rPr>
        <w:t xml:space="preserve"> </w:t>
      </w:r>
      <w:r w:rsidR="00597378" w:rsidRPr="00597378">
        <w:rPr>
          <w:b/>
          <w:bCs/>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sidRPr="00597378">
        <w:rPr>
          <w:b/>
          <w:bCs/>
          <w:lang w:val="el-GR"/>
        </w:rPr>
        <w:t>Μέλη</w:t>
      </w:r>
    </w:p>
    <w:p w14:paraId="1B8986E3" w14:textId="1A005247" w:rsidR="008202C9" w:rsidRDefault="008202C9" w:rsidP="00597378">
      <w:pPr>
        <w:spacing w:after="0" w:line="240" w:lineRule="auto"/>
        <w:rPr>
          <w:lang w:val="el-GR"/>
        </w:rPr>
      </w:pPr>
      <w:r>
        <w:rPr>
          <w:lang w:val="el-GR"/>
        </w:rPr>
        <w:t>Μακάριος Ελευθεριάδης</w:t>
      </w:r>
      <w:r w:rsidR="00597378">
        <w:rPr>
          <w:lang w:val="el-GR"/>
        </w:rPr>
        <w:t xml:space="preserve"> </w:t>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t>Αντσακλής Παναγιώτης</w:t>
      </w:r>
    </w:p>
    <w:p w14:paraId="7137F8C2" w14:textId="19613B0C" w:rsidR="00597378" w:rsidRDefault="00597378" w:rsidP="00597378">
      <w:pPr>
        <w:spacing w:after="0" w:line="240" w:lineRule="auto"/>
        <w:rPr>
          <w:lang w:val="el-GR"/>
        </w:rPr>
      </w:pPr>
      <w:r>
        <w:rPr>
          <w:lang w:val="el-GR"/>
        </w:rPr>
        <w:t xml:space="preserve">Αντσακλής Παναγιώτης </w:t>
      </w:r>
      <w:r>
        <w:rPr>
          <w:lang w:val="el-GR"/>
        </w:rPr>
        <w:tab/>
      </w:r>
      <w:r>
        <w:rPr>
          <w:lang w:val="el-GR"/>
        </w:rPr>
        <w:tab/>
      </w:r>
      <w:r>
        <w:rPr>
          <w:lang w:val="el-GR"/>
        </w:rPr>
        <w:tab/>
      </w:r>
      <w:r>
        <w:rPr>
          <w:lang w:val="el-GR"/>
        </w:rPr>
        <w:tab/>
      </w:r>
      <w:r>
        <w:rPr>
          <w:lang w:val="el-GR"/>
        </w:rPr>
        <w:tab/>
      </w:r>
      <w:r>
        <w:rPr>
          <w:lang w:val="el-GR"/>
        </w:rPr>
        <w:tab/>
      </w:r>
      <w:r>
        <w:rPr>
          <w:lang w:val="el-GR"/>
        </w:rPr>
        <w:tab/>
        <w:t>Γκίκας Αχιλλέας</w:t>
      </w:r>
    </w:p>
    <w:p w14:paraId="23FB6400" w14:textId="4222F940" w:rsidR="008202C9" w:rsidRDefault="008202C9" w:rsidP="00597378">
      <w:pPr>
        <w:spacing w:after="0" w:line="240" w:lineRule="auto"/>
        <w:rPr>
          <w:lang w:val="el-GR"/>
        </w:rPr>
      </w:pPr>
      <w:r>
        <w:rPr>
          <w:lang w:val="el-GR"/>
        </w:rPr>
        <w:t>Μουτάφη Αθηνά</w:t>
      </w:r>
      <w:r w:rsidR="00597378">
        <w:rPr>
          <w:lang w:val="el-GR"/>
        </w:rPr>
        <w:t xml:space="preserve"> </w:t>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r>
      <w:r w:rsidR="00597378">
        <w:rPr>
          <w:lang w:val="el-GR"/>
        </w:rPr>
        <w:tab/>
        <w:t>Θεοδωρά Μαριάννα</w:t>
      </w:r>
    </w:p>
    <w:p w14:paraId="0EB96500" w14:textId="1844A1F8" w:rsidR="00371FCE" w:rsidRPr="00597378" w:rsidRDefault="00597378" w:rsidP="00597378">
      <w:pPr>
        <w:spacing w:after="0" w:line="240" w:lineRule="auto"/>
        <w:rPr>
          <w:lang w:val="el-GR"/>
        </w:rPr>
      </w:pPr>
      <w:r>
        <w:rPr>
          <w:b/>
          <w:bCs/>
          <w:lang w:val="el-GR"/>
        </w:rPr>
        <w:tab/>
      </w:r>
      <w:r>
        <w:rPr>
          <w:b/>
          <w:bCs/>
          <w:lang w:val="el-GR"/>
        </w:rPr>
        <w:tab/>
      </w:r>
      <w:r>
        <w:rPr>
          <w:b/>
          <w:bCs/>
          <w:lang w:val="el-GR"/>
        </w:rPr>
        <w:tab/>
      </w:r>
      <w:r>
        <w:rPr>
          <w:b/>
          <w:bCs/>
          <w:lang w:val="el-GR"/>
        </w:rPr>
        <w:tab/>
      </w:r>
      <w:r>
        <w:rPr>
          <w:b/>
          <w:bCs/>
          <w:lang w:val="el-GR"/>
        </w:rPr>
        <w:tab/>
      </w:r>
      <w:r>
        <w:rPr>
          <w:b/>
          <w:bCs/>
          <w:lang w:val="el-GR"/>
        </w:rPr>
        <w:tab/>
      </w:r>
      <w:r>
        <w:rPr>
          <w:b/>
          <w:bCs/>
          <w:lang w:val="el-GR"/>
        </w:rPr>
        <w:tab/>
      </w:r>
      <w:r>
        <w:rPr>
          <w:b/>
          <w:bCs/>
          <w:lang w:val="el-GR"/>
        </w:rPr>
        <w:tab/>
      </w:r>
      <w:r>
        <w:rPr>
          <w:b/>
          <w:bCs/>
          <w:lang w:val="el-GR"/>
        </w:rPr>
        <w:tab/>
      </w:r>
      <w:proofErr w:type="spellStart"/>
      <w:r>
        <w:rPr>
          <w:lang w:val="el-GR"/>
        </w:rPr>
        <w:t>Σπερνοβασίλης</w:t>
      </w:r>
      <w:proofErr w:type="spellEnd"/>
      <w:r>
        <w:rPr>
          <w:lang w:val="el-GR"/>
        </w:rPr>
        <w:t xml:space="preserve"> Νικόλαος</w:t>
      </w:r>
    </w:p>
    <w:p w14:paraId="1A5263CC" w14:textId="77777777" w:rsidR="00371FCE" w:rsidRDefault="00371FCE" w:rsidP="00597378">
      <w:pPr>
        <w:spacing w:after="0" w:line="240" w:lineRule="auto"/>
        <w:rPr>
          <w:b/>
          <w:bCs/>
          <w:lang w:val="el-GR"/>
        </w:rPr>
      </w:pPr>
    </w:p>
    <w:p w14:paraId="03689855" w14:textId="77777777" w:rsidR="00371FCE" w:rsidRDefault="00371FCE">
      <w:pPr>
        <w:rPr>
          <w:b/>
          <w:bCs/>
          <w:lang w:val="el-GR"/>
        </w:rPr>
      </w:pPr>
    </w:p>
    <w:p w14:paraId="0120F96D" w14:textId="77777777" w:rsidR="00EA584D" w:rsidRPr="007D3E94" w:rsidRDefault="009A7653">
      <w:r>
        <w:rPr>
          <w:b/>
          <w:bCs/>
          <w:lang w:val="el-GR"/>
        </w:rPr>
        <w:t>Βιβλιογραφία</w:t>
      </w:r>
    </w:p>
    <w:p w14:paraId="4260486E" w14:textId="77777777" w:rsidR="00151A66" w:rsidRDefault="00151A66" w:rsidP="00151A66">
      <w:pPr>
        <w:pStyle w:val="a8"/>
      </w:pPr>
      <w:r w:rsidRPr="007D3E94">
        <w:t>1.</w:t>
      </w:r>
      <w:r w:rsidRPr="007D3E94">
        <w:tab/>
      </w:r>
      <w:r>
        <w:t>Hamid</w:t>
      </w:r>
      <w:r w:rsidRPr="007D3E94">
        <w:t xml:space="preserve"> </w:t>
      </w:r>
      <w:r>
        <w:t>S</w:t>
      </w:r>
      <w:r w:rsidRPr="007D3E94">
        <w:t xml:space="preserve">, </w:t>
      </w:r>
      <w:r>
        <w:t>Winn</w:t>
      </w:r>
      <w:r w:rsidRPr="007D3E94">
        <w:t xml:space="preserve"> </w:t>
      </w:r>
      <w:r>
        <w:t>A</w:t>
      </w:r>
      <w:r w:rsidRPr="007D3E94">
        <w:t xml:space="preserve">, </w:t>
      </w:r>
      <w:r>
        <w:t>Parikh</w:t>
      </w:r>
      <w:r w:rsidRPr="007D3E94">
        <w:t xml:space="preserve"> </w:t>
      </w:r>
      <w:r>
        <w:t>R</w:t>
      </w:r>
      <w:r w:rsidRPr="007D3E94">
        <w:t xml:space="preserve">, </w:t>
      </w:r>
      <w:r>
        <w:t>et</w:t>
      </w:r>
      <w:r w:rsidRPr="007D3E94">
        <w:t xml:space="preserve"> </w:t>
      </w:r>
      <w:r>
        <w:t>al</w:t>
      </w:r>
      <w:r w:rsidRPr="007D3E94">
        <w:t xml:space="preserve">. </w:t>
      </w:r>
      <w:r>
        <w:t xml:space="preserve">Seasonality of Respiratory Syncytial Virus – United States, 2017-2023. MMWR </w:t>
      </w:r>
      <w:proofErr w:type="spellStart"/>
      <w:r>
        <w:t>Morb</w:t>
      </w:r>
      <w:proofErr w:type="spellEnd"/>
      <w:r>
        <w:t xml:space="preserve"> Mortal </w:t>
      </w:r>
      <w:proofErr w:type="spellStart"/>
      <w:r>
        <w:t>Wkly</w:t>
      </w:r>
      <w:proofErr w:type="spellEnd"/>
      <w:r>
        <w:t xml:space="preserve"> Rep. 2023 Apr 7;72(14):355-361. doi: 10.15585/mmwr.mm7214a1</w:t>
      </w:r>
    </w:p>
    <w:p w14:paraId="02C76E4B" w14:textId="77777777" w:rsidR="00151A66" w:rsidRDefault="00151A66" w:rsidP="00151A66">
      <w:pPr>
        <w:pStyle w:val="a8"/>
      </w:pPr>
      <w:r>
        <w:rPr>
          <w:rFonts w:hint="eastAsia"/>
        </w:rPr>
        <w:t>2.</w:t>
      </w:r>
      <w:r>
        <w:rPr>
          <w:rFonts w:hint="eastAsia"/>
        </w:rPr>
        <w:tab/>
        <w:t xml:space="preserve">Noble M, Khan RA, Walker B, Bennett E, Gent N. Respiratory syncytial virus-associated hospitalization in children aged </w:t>
      </w:r>
      <w:r>
        <w:rPr>
          <w:rFonts w:hint="eastAsia"/>
        </w:rPr>
        <w:t>≤</w:t>
      </w:r>
      <w:r>
        <w:rPr>
          <w:rFonts w:hint="eastAsia"/>
        </w:rPr>
        <w:t>5 years: a scoping review of literature from 2009 to 2021. ERJ Open Res 2022;8(2):00593-2021-00593-2021.</w:t>
      </w:r>
    </w:p>
    <w:p w14:paraId="37DEEDEA" w14:textId="77777777" w:rsidR="00151A66" w:rsidRDefault="00151A66" w:rsidP="00151A66">
      <w:pPr>
        <w:pStyle w:val="a8"/>
      </w:pPr>
      <w:r>
        <w:t>3.</w:t>
      </w:r>
      <w:r>
        <w:tab/>
        <w:t xml:space="preserve">Centers for Disease Control and Prevention (CDC): “Healthcare Providers: RSV Vaccination for Pregnant People”. National Center for Immunization and Respiratory Diseases, </w:t>
      </w:r>
      <w:proofErr w:type="gramStart"/>
      <w:r>
        <w:t>Sep  2023</w:t>
      </w:r>
      <w:proofErr w:type="gramEnd"/>
      <w:r>
        <w:t>. https://www.cdc.gov/vaccines/vpd/rsv/hcp/pregnant-people.html</w:t>
      </w:r>
    </w:p>
    <w:p w14:paraId="7E5A0C76" w14:textId="77777777" w:rsidR="00151A66" w:rsidRDefault="00151A66" w:rsidP="00151A66">
      <w:pPr>
        <w:pStyle w:val="a8"/>
      </w:pPr>
      <w:r>
        <w:t>4.</w:t>
      </w:r>
      <w:r>
        <w:tab/>
        <w:t>European Medicines Agency (EMA). “Abrysvo”. https://www.ema.europa.eu/en/medicines/human/EPAR/abrysvo</w:t>
      </w:r>
    </w:p>
    <w:p w14:paraId="5F9D15A2" w14:textId="77777777" w:rsidR="00151A66" w:rsidRDefault="00151A66" w:rsidP="00151A66">
      <w:pPr>
        <w:pStyle w:val="a8"/>
      </w:pPr>
      <w:r>
        <w:t>5.</w:t>
      </w:r>
      <w:r>
        <w:tab/>
        <w:t>Food and Drug Administration: FDA Approves First Vaccine for Pregnant Individuals to Prevent RSV in Infants. Press Release. Silver Spring, MD: US Department of Health and Human Services, Food and Drug Administrations; 2023. https://www.fda.gov/news-events/press-announcements/fda-approves-first-vaccine-pregnant-individuals-prevent-rsv-infants</w:t>
      </w:r>
    </w:p>
    <w:p w14:paraId="2853D0FA" w14:textId="77777777" w:rsidR="00151A66" w:rsidRDefault="00151A66" w:rsidP="00151A66">
      <w:pPr>
        <w:pStyle w:val="a8"/>
      </w:pPr>
      <w:r>
        <w:lastRenderedPageBreak/>
        <w:t>6.</w:t>
      </w:r>
      <w:r>
        <w:tab/>
        <w:t xml:space="preserve">Fleming-Dutra KE, Jones JM, Roper LE, et al. Use of the Pfizer Respiratory Syncytial Virus Vaccine During Pregnancy for the Prevention of Respiratory Syncytial Virus–Associated Lower Respiratory Tract Disease in Infants: Recommendations of the Advisory Committee on Immunization Practices — United States, 2023. MMWR </w:t>
      </w:r>
      <w:proofErr w:type="spellStart"/>
      <w:r>
        <w:t>Morb</w:t>
      </w:r>
      <w:proofErr w:type="spellEnd"/>
      <w:r>
        <w:t xml:space="preserve"> Mortal </w:t>
      </w:r>
      <w:proofErr w:type="spellStart"/>
      <w:r>
        <w:t>Wkly</w:t>
      </w:r>
      <w:proofErr w:type="spellEnd"/>
      <w:r>
        <w:t xml:space="preserve"> Rep. </w:t>
      </w:r>
      <w:proofErr w:type="spellStart"/>
      <w:r>
        <w:t>ePub</w:t>
      </w:r>
      <w:proofErr w:type="spellEnd"/>
      <w:r>
        <w:t>: 6 October 2023. DOI: http://dx.doi.org/10.15585/mmwr.mm7241e1.</w:t>
      </w:r>
    </w:p>
    <w:p w14:paraId="3284DA97" w14:textId="77777777" w:rsidR="00151A66" w:rsidRDefault="00151A66" w:rsidP="00151A66">
      <w:pPr>
        <w:pStyle w:val="a8"/>
      </w:pPr>
      <w:r>
        <w:t>7.</w:t>
      </w:r>
      <w:r>
        <w:tab/>
        <w:t>Food and Drug Administration. ABRYSVO package insert. Silver Springs, MD: US Department of Health and Human Services, Food and Drug Administrations; 2023. https://www.fda.gov/media/168889/download?attachment</w:t>
      </w:r>
    </w:p>
    <w:p w14:paraId="2DC2AF8B" w14:textId="77777777" w:rsidR="00151A66" w:rsidRDefault="00151A66" w:rsidP="00151A66">
      <w:pPr>
        <w:pStyle w:val="a8"/>
      </w:pPr>
      <w:r>
        <w:t>8.</w:t>
      </w:r>
      <w:r>
        <w:tab/>
        <w:t>Kampmann B, Madhi SA, Munjal I, et al. Bivalent Prefusion F Vaccine in Pregnancy to Prevent RSV Illness in Infants. N Engl J Med. 2023 Apr 20; 388(1):1451–1464. doi:10.1056/NEJMoa2216480</w:t>
      </w:r>
    </w:p>
    <w:p w14:paraId="778D07A0" w14:textId="5C2F1F32" w:rsidR="00BD4250" w:rsidRPr="00F9128D" w:rsidRDefault="00151A66" w:rsidP="00151A66">
      <w:pPr>
        <w:pStyle w:val="a8"/>
      </w:pPr>
      <w:r>
        <w:t>9.</w:t>
      </w:r>
      <w:r>
        <w:tab/>
      </w:r>
      <w:hyperlink r:id="rId8" w:history="1">
        <w:r w:rsidR="00F9128D" w:rsidRPr="00BA7E92">
          <w:rPr>
            <w:rStyle w:val="-"/>
          </w:rPr>
          <w:t>https://www.acog.org/clinical/clinical-guidance/practice-advisory/articles/2023/09/maternal-respiratory-syncytial-virus-vaccination</w:t>
        </w:r>
      </w:hyperlink>
    </w:p>
    <w:p w14:paraId="53319EA1" w14:textId="6BF19700" w:rsidR="00F9128D" w:rsidRPr="00F9128D" w:rsidRDefault="00F9128D" w:rsidP="00151A66">
      <w:pPr>
        <w:pStyle w:val="a8"/>
        <w:rPr>
          <w:rFonts w:asciiTheme="minorHAnsi" w:hAnsiTheme="minorHAnsi" w:cstheme="minorHAnsi"/>
        </w:rPr>
      </w:pPr>
      <w:r w:rsidRPr="00FC004E">
        <w:rPr>
          <w:highlight w:val="yellow"/>
        </w:rPr>
        <w:t xml:space="preserve">10. </w:t>
      </w:r>
      <w:r w:rsidRPr="00FC004E">
        <w:rPr>
          <w:rFonts w:asciiTheme="minorHAnsi" w:hAnsiTheme="minorHAnsi" w:cstheme="minorHAnsi"/>
          <w:highlight w:val="yellow"/>
          <w:shd w:val="clear" w:color="auto" w:fill="FFFFFF"/>
        </w:rPr>
        <w:t xml:space="preserve">Safety and Immunogenicity of a Respiratory Syncytial Virus Prefusion F Vaccine When </w:t>
      </w:r>
      <w:proofErr w:type="spellStart"/>
      <w:r w:rsidRPr="00FC004E">
        <w:rPr>
          <w:rFonts w:asciiTheme="minorHAnsi" w:hAnsiTheme="minorHAnsi" w:cstheme="minorHAnsi"/>
          <w:highlight w:val="yellow"/>
          <w:shd w:val="clear" w:color="auto" w:fill="FFFFFF"/>
        </w:rPr>
        <w:t>Coadministered</w:t>
      </w:r>
      <w:proofErr w:type="spellEnd"/>
      <w:r w:rsidRPr="00FC004E">
        <w:rPr>
          <w:rFonts w:asciiTheme="minorHAnsi" w:hAnsiTheme="minorHAnsi" w:cstheme="minorHAnsi"/>
          <w:highlight w:val="yellow"/>
          <w:shd w:val="clear" w:color="auto" w:fill="FFFFFF"/>
        </w:rPr>
        <w:t xml:space="preserve"> </w:t>
      </w:r>
      <w:proofErr w:type="gramStart"/>
      <w:r w:rsidRPr="00FC004E">
        <w:rPr>
          <w:rFonts w:asciiTheme="minorHAnsi" w:hAnsiTheme="minorHAnsi" w:cstheme="minorHAnsi"/>
          <w:highlight w:val="yellow"/>
          <w:shd w:val="clear" w:color="auto" w:fill="FFFFFF"/>
        </w:rPr>
        <w:t>With</w:t>
      </w:r>
      <w:proofErr w:type="gramEnd"/>
      <w:r w:rsidRPr="00FC004E">
        <w:rPr>
          <w:rFonts w:asciiTheme="minorHAnsi" w:hAnsiTheme="minorHAnsi" w:cstheme="minorHAnsi"/>
          <w:highlight w:val="yellow"/>
          <w:shd w:val="clear" w:color="auto" w:fill="FFFFFF"/>
        </w:rPr>
        <w:t xml:space="preserve"> a Tetanus, Diphtheria, and Acellular Pertussis Vaccine. </w:t>
      </w:r>
      <w:r w:rsidRPr="00FC004E">
        <w:rPr>
          <w:rStyle w:val="docsum-authors"/>
          <w:rFonts w:asciiTheme="minorHAnsi" w:hAnsiTheme="minorHAnsi" w:cstheme="minorHAnsi"/>
          <w:highlight w:val="yellow"/>
          <w:shd w:val="clear" w:color="auto" w:fill="FFFFFF"/>
        </w:rPr>
        <w:t xml:space="preserve">Peterson JT, Zareba AM, Fitz-Patrick D, Essink BJ, Scott DA, Swanson KA, Chelani D, Radley D, Cooper D, Jansen KU, </w:t>
      </w:r>
      <w:proofErr w:type="spellStart"/>
      <w:r w:rsidRPr="00FC004E">
        <w:rPr>
          <w:rStyle w:val="docsum-authors"/>
          <w:rFonts w:asciiTheme="minorHAnsi" w:hAnsiTheme="minorHAnsi" w:cstheme="minorHAnsi"/>
          <w:highlight w:val="yellow"/>
          <w:shd w:val="clear" w:color="auto" w:fill="FFFFFF"/>
        </w:rPr>
        <w:t>Dormitzer</w:t>
      </w:r>
      <w:proofErr w:type="spellEnd"/>
      <w:r w:rsidRPr="00FC004E">
        <w:rPr>
          <w:rStyle w:val="docsum-authors"/>
          <w:rFonts w:asciiTheme="minorHAnsi" w:hAnsiTheme="minorHAnsi" w:cstheme="minorHAnsi"/>
          <w:highlight w:val="yellow"/>
          <w:shd w:val="clear" w:color="auto" w:fill="FFFFFF"/>
        </w:rPr>
        <w:t xml:space="preserve"> PR, Gruber WC, </w:t>
      </w:r>
      <w:proofErr w:type="spellStart"/>
      <w:r w:rsidRPr="00FC004E">
        <w:rPr>
          <w:rStyle w:val="docsum-authors"/>
          <w:rFonts w:asciiTheme="minorHAnsi" w:hAnsiTheme="minorHAnsi" w:cstheme="minorHAnsi"/>
          <w:highlight w:val="yellow"/>
          <w:shd w:val="clear" w:color="auto" w:fill="FFFFFF"/>
        </w:rPr>
        <w:t>Gurtman</w:t>
      </w:r>
      <w:proofErr w:type="spellEnd"/>
      <w:r w:rsidRPr="00FC004E">
        <w:rPr>
          <w:rStyle w:val="docsum-authors"/>
          <w:rFonts w:asciiTheme="minorHAnsi" w:hAnsiTheme="minorHAnsi" w:cstheme="minorHAnsi"/>
          <w:highlight w:val="yellow"/>
          <w:shd w:val="clear" w:color="auto" w:fill="FFFFFF"/>
        </w:rPr>
        <w:t xml:space="preserve"> A.</w:t>
      </w:r>
      <w:r w:rsidRPr="00FC004E">
        <w:rPr>
          <w:rStyle w:val="docsum-journal-citation"/>
          <w:rFonts w:asciiTheme="minorHAnsi" w:hAnsiTheme="minorHAnsi" w:cstheme="minorHAnsi"/>
          <w:highlight w:val="yellow"/>
          <w:shd w:val="clear" w:color="auto" w:fill="FFFFFF"/>
        </w:rPr>
        <w:t>J Infect Dis. 2022 Jun 15;225(12):2077-2086.</w:t>
      </w:r>
    </w:p>
    <w:sectPr w:rsidR="00F9128D" w:rsidRPr="00F9128D">
      <w:pgSz w:w="12240" w:h="15840"/>
      <w:pgMar w:top="1440" w:right="1440" w:bottom="1440" w:left="1440"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charset w:val="A1"/>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82938071">
    <w:abstractNumId w:val="0"/>
  </w:num>
  <w:num w:numId="2" w16cid:durableId="794712195">
    <w:abstractNumId w:val="1"/>
  </w:num>
  <w:num w:numId="3" w16cid:durableId="1426028169">
    <w:abstractNumId w:val="2"/>
  </w:num>
  <w:num w:numId="4" w16cid:durableId="1117874832">
    <w:abstractNumId w:val="3"/>
  </w:num>
  <w:num w:numId="5" w16cid:durableId="1558202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6B"/>
    <w:rsid w:val="0000148A"/>
    <w:rsid w:val="00013DBB"/>
    <w:rsid w:val="000924CE"/>
    <w:rsid w:val="000A5FCA"/>
    <w:rsid w:val="00151A66"/>
    <w:rsid w:val="001D1452"/>
    <w:rsid w:val="0020296F"/>
    <w:rsid w:val="00205A18"/>
    <w:rsid w:val="00215AFD"/>
    <w:rsid w:val="0023682D"/>
    <w:rsid w:val="00263E66"/>
    <w:rsid w:val="00280B94"/>
    <w:rsid w:val="002C1480"/>
    <w:rsid w:val="00301DFD"/>
    <w:rsid w:val="00371FCE"/>
    <w:rsid w:val="003949C3"/>
    <w:rsid w:val="003F4CA7"/>
    <w:rsid w:val="0040426B"/>
    <w:rsid w:val="0042661A"/>
    <w:rsid w:val="00473896"/>
    <w:rsid w:val="00593D34"/>
    <w:rsid w:val="00597378"/>
    <w:rsid w:val="005A09A5"/>
    <w:rsid w:val="00676F44"/>
    <w:rsid w:val="006B3794"/>
    <w:rsid w:val="006D4A7B"/>
    <w:rsid w:val="006E7A43"/>
    <w:rsid w:val="006F0A1F"/>
    <w:rsid w:val="00720082"/>
    <w:rsid w:val="00731801"/>
    <w:rsid w:val="007538CE"/>
    <w:rsid w:val="007D3E94"/>
    <w:rsid w:val="008174F9"/>
    <w:rsid w:val="008202C9"/>
    <w:rsid w:val="00821EF9"/>
    <w:rsid w:val="00824B04"/>
    <w:rsid w:val="00825284"/>
    <w:rsid w:val="00891677"/>
    <w:rsid w:val="008C217D"/>
    <w:rsid w:val="008D08A6"/>
    <w:rsid w:val="008E31A3"/>
    <w:rsid w:val="00911511"/>
    <w:rsid w:val="00932629"/>
    <w:rsid w:val="00951FE4"/>
    <w:rsid w:val="009A4BB7"/>
    <w:rsid w:val="009A7653"/>
    <w:rsid w:val="00A0706C"/>
    <w:rsid w:val="00A1472A"/>
    <w:rsid w:val="00A4179D"/>
    <w:rsid w:val="00B45878"/>
    <w:rsid w:val="00B6623B"/>
    <w:rsid w:val="00BD4250"/>
    <w:rsid w:val="00CA0F95"/>
    <w:rsid w:val="00CA5F8A"/>
    <w:rsid w:val="00CF729A"/>
    <w:rsid w:val="00DD7481"/>
    <w:rsid w:val="00E53F46"/>
    <w:rsid w:val="00E7139D"/>
    <w:rsid w:val="00EA584D"/>
    <w:rsid w:val="00EF14C6"/>
    <w:rsid w:val="00EF2C34"/>
    <w:rsid w:val="00F40004"/>
    <w:rsid w:val="00F9128D"/>
    <w:rsid w:val="00FC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B2021C"/>
  <w15:chartTrackingRefBased/>
  <w15:docId w15:val="{EABC5432-6A4D-1F4A-99F8-A7F2924A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SimSun" w:hAnsi="Calibri" w:cs="font42"/>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character" w:styleId="-">
    <w:name w:val="Hyperlink"/>
    <w:rPr>
      <w:color w:val="0000FF"/>
      <w:u w:val="single"/>
    </w:rPr>
  </w:style>
  <w:style w:type="character" w:styleId="a3">
    <w:name w:val="Unresolved Mention"/>
    <w:rPr>
      <w:color w:val="605E5C"/>
    </w:rPr>
  </w:style>
  <w:style w:type="character" w:customStyle="1" w:styleId="ListLabel1">
    <w:name w:val="ListLabel 1"/>
    <w:rPr>
      <w:rFonts w:cs="Courier New"/>
    </w:rPr>
  </w:style>
  <w:style w:type="paragraph" w:customStyle="1" w:styleId="a4">
    <w:name w:val="Επικεφαλίδα"/>
    <w:basedOn w:val="a"/>
    <w:next w:val="a5"/>
    <w:pPr>
      <w:keepNext/>
      <w:spacing w:before="240" w:after="120"/>
    </w:pPr>
    <w:rPr>
      <w:rFonts w:ascii="Arial" w:eastAsia="Microsoft YaHei" w:hAnsi="Arial" w:cs="Lucida Sans"/>
      <w:sz w:val="28"/>
      <w:szCs w:val="28"/>
    </w:rPr>
  </w:style>
  <w:style w:type="paragraph" w:styleId="a5">
    <w:name w:val="Body Text"/>
    <w:basedOn w:val="a"/>
    <w:pPr>
      <w:spacing w:after="120"/>
    </w:pPr>
  </w:style>
  <w:style w:type="paragraph" w:styleId="a6">
    <w:name w:val="List"/>
    <w:basedOn w:val="a5"/>
    <w:rPr>
      <w:rFonts w:cs="Lucida Sans"/>
    </w:rPr>
  </w:style>
  <w:style w:type="paragraph" w:customStyle="1" w:styleId="1">
    <w:name w:val="Λεζάντα1"/>
    <w:basedOn w:val="a"/>
    <w:pPr>
      <w:suppressLineNumbers/>
      <w:spacing w:before="120" w:after="120"/>
    </w:pPr>
    <w:rPr>
      <w:rFonts w:cs="Lucida Sans"/>
      <w:i/>
      <w:iCs/>
      <w:sz w:val="24"/>
      <w:szCs w:val="24"/>
    </w:rPr>
  </w:style>
  <w:style w:type="paragraph" w:customStyle="1" w:styleId="a7">
    <w:name w:val="Ευρετήριο"/>
    <w:basedOn w:val="a"/>
    <w:pPr>
      <w:suppressLineNumbers/>
    </w:pPr>
    <w:rPr>
      <w:rFonts w:cs="Lucida Sans"/>
    </w:rPr>
  </w:style>
  <w:style w:type="paragraph" w:styleId="a8">
    <w:name w:val="List Paragraph"/>
    <w:basedOn w:val="a"/>
    <w:qFormat/>
    <w:pPr>
      <w:ind w:left="720"/>
    </w:pPr>
  </w:style>
  <w:style w:type="paragraph" w:styleId="a9">
    <w:name w:val="Revision"/>
    <w:hidden/>
    <w:uiPriority w:val="99"/>
    <w:semiHidden/>
    <w:rsid w:val="0040426B"/>
    <w:rPr>
      <w:rFonts w:ascii="Calibri" w:eastAsia="SimSun" w:hAnsi="Calibri" w:cs="font42"/>
      <w:sz w:val="22"/>
      <w:szCs w:val="22"/>
      <w:lang w:eastAsia="ar-SA"/>
    </w:rPr>
  </w:style>
  <w:style w:type="character" w:styleId="aa">
    <w:name w:val="annotation reference"/>
    <w:uiPriority w:val="99"/>
    <w:semiHidden/>
    <w:unhideWhenUsed/>
    <w:rsid w:val="0040426B"/>
    <w:rPr>
      <w:sz w:val="16"/>
      <w:szCs w:val="16"/>
    </w:rPr>
  </w:style>
  <w:style w:type="paragraph" w:styleId="ab">
    <w:name w:val="annotation text"/>
    <w:basedOn w:val="a"/>
    <w:link w:val="Char"/>
    <w:uiPriority w:val="99"/>
    <w:semiHidden/>
    <w:unhideWhenUsed/>
    <w:rsid w:val="0040426B"/>
    <w:rPr>
      <w:sz w:val="20"/>
      <w:szCs w:val="20"/>
    </w:rPr>
  </w:style>
  <w:style w:type="character" w:customStyle="1" w:styleId="Char">
    <w:name w:val="Κείμενο σχολίου Char"/>
    <w:link w:val="ab"/>
    <w:uiPriority w:val="99"/>
    <w:semiHidden/>
    <w:rsid w:val="0040426B"/>
    <w:rPr>
      <w:rFonts w:ascii="Calibri" w:eastAsia="SimSun" w:hAnsi="Calibri" w:cs="font42"/>
      <w:lang w:val="en-US" w:eastAsia="ar-SA"/>
    </w:rPr>
  </w:style>
  <w:style w:type="paragraph" w:styleId="ac">
    <w:name w:val="annotation subject"/>
    <w:basedOn w:val="ab"/>
    <w:next w:val="ab"/>
    <w:link w:val="Char0"/>
    <w:uiPriority w:val="99"/>
    <w:semiHidden/>
    <w:unhideWhenUsed/>
    <w:rsid w:val="0040426B"/>
    <w:rPr>
      <w:b/>
      <w:bCs/>
    </w:rPr>
  </w:style>
  <w:style w:type="character" w:customStyle="1" w:styleId="Char0">
    <w:name w:val="Θέμα σχολίου Char"/>
    <w:link w:val="ac"/>
    <w:uiPriority w:val="99"/>
    <w:semiHidden/>
    <w:rsid w:val="0040426B"/>
    <w:rPr>
      <w:rFonts w:ascii="Calibri" w:eastAsia="SimSun" w:hAnsi="Calibri" w:cs="font42"/>
      <w:b/>
      <w:bCs/>
      <w:lang w:val="en-US" w:eastAsia="ar-SA"/>
    </w:rPr>
  </w:style>
  <w:style w:type="character" w:styleId="-0">
    <w:name w:val="FollowedHyperlink"/>
    <w:basedOn w:val="a0"/>
    <w:uiPriority w:val="99"/>
    <w:semiHidden/>
    <w:unhideWhenUsed/>
    <w:rsid w:val="00824B04"/>
    <w:rPr>
      <w:color w:val="954F72" w:themeColor="followedHyperlink"/>
      <w:u w:val="single"/>
    </w:rPr>
  </w:style>
  <w:style w:type="character" w:customStyle="1" w:styleId="docsum-authors">
    <w:name w:val="docsum-authors"/>
    <w:basedOn w:val="a0"/>
    <w:rsid w:val="00F9128D"/>
  </w:style>
  <w:style w:type="character" w:customStyle="1" w:styleId="docsum-journal-citation">
    <w:name w:val="docsum-journal-citation"/>
    <w:basedOn w:val="a0"/>
    <w:rsid w:val="00F9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497562">
      <w:bodyDiv w:val="1"/>
      <w:marLeft w:val="0"/>
      <w:marRight w:val="0"/>
      <w:marTop w:val="0"/>
      <w:marBottom w:val="0"/>
      <w:divBdr>
        <w:top w:val="none" w:sz="0" w:space="0" w:color="auto"/>
        <w:left w:val="none" w:sz="0" w:space="0" w:color="auto"/>
        <w:bottom w:val="none" w:sz="0" w:space="0" w:color="auto"/>
        <w:right w:val="none" w:sz="0" w:space="0" w:color="auto"/>
      </w:divBdr>
    </w:div>
    <w:div w:id="17797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g.org/clinical/clinical-guidance/practice-advisory/articles/2023/09/maternal-respiratory-syncytial-virus-vaccination"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5BDF4-2B1C-2A49-8654-D5F7B051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1679</Words>
  <Characters>9067</Characters>
  <Application>Microsoft Office Word</Application>
  <DocSecurity>0</DocSecurity>
  <Lines>75</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10725</CharactersWithSpaces>
  <SharedDoc>false</SharedDoc>
  <HLinks>
    <vt:vector size="12" baseType="variant">
      <vt:variant>
        <vt:i4>2097197</vt:i4>
      </vt:variant>
      <vt:variant>
        <vt:i4>3</vt:i4>
      </vt:variant>
      <vt:variant>
        <vt:i4>0</vt:i4>
      </vt:variant>
      <vt:variant>
        <vt:i4>5</vt:i4>
      </vt:variant>
      <vt:variant>
        <vt:lpwstr>https://www.fda.gov/news-events/press-announcements/fda-approves-first-vaccine-pregnant-individuals-prevent-rsv-infants</vt:lpwstr>
      </vt:variant>
      <vt:variant>
        <vt:lpwstr/>
      </vt:variant>
      <vt:variant>
        <vt:i4>1966081</vt:i4>
      </vt:variant>
      <vt:variant>
        <vt:i4>0</vt:i4>
      </vt:variant>
      <vt:variant>
        <vt:i4>0</vt:i4>
      </vt:variant>
      <vt:variant>
        <vt:i4>5</vt:i4>
      </vt:variant>
      <vt:variant>
        <vt:lpwstr>https://www.cdc.gov/vaccines/vpd/rsv/hcp/pregnant-people.html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Evangelia Kontogeorgi</dc:creator>
  <cp:keywords/>
  <cp:lastModifiedBy>STELLA AVGOUSTI</cp:lastModifiedBy>
  <cp:revision>2</cp:revision>
  <cp:lastPrinted>2023-12-21T08:27:00Z</cp:lastPrinted>
  <dcterms:created xsi:type="dcterms:W3CDTF">2024-04-24T07:23:00Z</dcterms:created>
  <dcterms:modified xsi:type="dcterms:W3CDTF">2024-04-24T07:23:00Z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810a604b9b9a2128c5ad6bfed8fc1706819c15fbeb183284918081aa5dee4c12</vt:lpwstr>
  </property>
</Properties>
</file>